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92" w:rsidRDefault="00030092" w:rsidP="00030092">
      <w:pPr>
        <w:tabs>
          <w:tab w:val="left" w:pos="-1440"/>
          <w:tab w:val="left" w:pos="-720"/>
        </w:tabs>
        <w:suppressAutoHyphens/>
        <w:rPr>
          <w:b/>
          <w:spacing w:val="-3"/>
        </w:rPr>
      </w:pPr>
      <w:r>
        <w:rPr>
          <w:b/>
          <w:spacing w:val="-3"/>
        </w:rPr>
        <w:t>BB 258251</w:t>
      </w:r>
    </w:p>
    <w:p w:rsidR="00BE23E6" w:rsidRDefault="00BE23E6" w:rsidP="00BE23E6">
      <w:pPr>
        <w:tabs>
          <w:tab w:val="left" w:pos="-1440"/>
          <w:tab w:val="left" w:pos="-720"/>
        </w:tabs>
        <w:suppressAutoHyphens/>
        <w:jc w:val="both"/>
        <w:rPr>
          <w:b/>
          <w:sz w:val="14"/>
        </w:rPr>
      </w:pPr>
      <w:r>
        <w:rPr>
          <w:b/>
          <w:spacing w:val="-3"/>
        </w:rPr>
        <w:tab/>
      </w:r>
    </w:p>
    <w:p w:rsidR="008A30B0" w:rsidRDefault="008A30B0">
      <w:pPr>
        <w:rPr>
          <w:b/>
          <w:color w:val="000000"/>
          <w:kern w:val="28"/>
          <w:sz w:val="28"/>
          <w:u w:val="single" w:color="000000"/>
        </w:rPr>
      </w:pPr>
    </w:p>
    <w:p w:rsidR="00BE23E6" w:rsidRDefault="00BE23E6" w:rsidP="00BE23E6">
      <w:pPr>
        <w:pStyle w:val="Heading1"/>
        <w:rPr>
          <w:u w:color="000000"/>
        </w:rPr>
      </w:pPr>
      <w:bookmarkStart w:id="0" w:name="TOC"/>
      <w:bookmarkStart w:id="1" w:name="_Toc430594475"/>
      <w:bookmarkEnd w:id="0"/>
      <w:r>
        <w:rPr>
          <w:u w:color="000000"/>
        </w:rPr>
        <w:t>TABLE OF CONTENTS</w:t>
      </w:r>
      <w:bookmarkEnd w:id="1"/>
    </w:p>
    <w:p w:rsidR="00BE23E6" w:rsidRDefault="00BE23E6" w:rsidP="000806BE"/>
    <w:p w:rsidR="00BE23E6" w:rsidRPr="00BE23E6" w:rsidRDefault="00BE23E6" w:rsidP="000806BE">
      <w:pPr>
        <w:pStyle w:val="TOC5"/>
        <w:spacing w:after="0"/>
        <w:rPr>
          <w:rFonts w:asciiTheme="minorHAnsi" w:eastAsiaTheme="minorEastAsia" w:hAnsiTheme="minorHAnsi" w:cstheme="minorBidi"/>
          <w:b/>
          <w:sz w:val="22"/>
          <w:szCs w:val="22"/>
        </w:rPr>
      </w:pPr>
      <w:bookmarkStart w:id="2" w:name="LegalTOC"/>
      <w:r w:rsidRPr="00BE23E6">
        <w:rPr>
          <w:b/>
        </w:rPr>
        <w:t>JUDGMENT APPEALED FROM, RELIEF SOUGHT,</w:t>
      </w:r>
    </w:p>
    <w:p w:rsidR="00BE23E6" w:rsidRDefault="00BE23E6" w:rsidP="000806BE">
      <w:pPr>
        <w:pStyle w:val="TOC5"/>
        <w:spacing w:after="0"/>
        <w:ind w:left="1800" w:hanging="1195"/>
        <w:rPr>
          <w:b/>
        </w:rPr>
      </w:pPr>
      <w:r w:rsidRPr="00BE23E6">
        <w:rPr>
          <w:b/>
        </w:rPr>
        <w:tab/>
        <w:t>AND CONCISE ALLEGATIONS OF ERROR</w:t>
      </w:r>
      <w:r w:rsidRPr="00BE23E6">
        <w:rPr>
          <w:b/>
        </w:rPr>
        <w:tab/>
        <w:t>i</w:t>
      </w:r>
    </w:p>
    <w:p w:rsidR="000806BE" w:rsidRPr="000806BE" w:rsidRDefault="000806BE" w:rsidP="000806BE">
      <w:pPr>
        <w:rPr>
          <w:rFonts w:eastAsiaTheme="minorEastAsia"/>
        </w:rPr>
      </w:pPr>
    </w:p>
    <w:p w:rsidR="00BE23E6" w:rsidRPr="00BE23E6" w:rsidRDefault="00BE23E6" w:rsidP="00BE23E6">
      <w:pPr>
        <w:pStyle w:val="TOC5"/>
        <w:rPr>
          <w:rFonts w:asciiTheme="minorHAnsi" w:eastAsiaTheme="minorEastAsia" w:hAnsiTheme="minorHAnsi" w:cstheme="minorBidi"/>
          <w:b/>
          <w:sz w:val="22"/>
          <w:szCs w:val="22"/>
        </w:rPr>
      </w:pPr>
      <w:r w:rsidRPr="00BE23E6">
        <w:rPr>
          <w:b/>
          <w:color w:val="000000"/>
          <w:u w:color="000000"/>
        </w:rPr>
        <w:t>TABLE OF AUTHORITIES</w:t>
      </w:r>
      <w:r w:rsidRPr="00BE23E6">
        <w:rPr>
          <w:b/>
        </w:rPr>
        <w:tab/>
        <w:t>ii</w:t>
      </w:r>
    </w:p>
    <w:p w:rsidR="00BE23E6" w:rsidRPr="00BE23E6" w:rsidRDefault="00BE23E6" w:rsidP="00BE23E6">
      <w:pPr>
        <w:pStyle w:val="TOC5"/>
        <w:rPr>
          <w:rFonts w:asciiTheme="minorHAnsi" w:eastAsiaTheme="minorEastAsia" w:hAnsiTheme="minorHAnsi" w:cstheme="minorBidi"/>
          <w:b/>
          <w:sz w:val="22"/>
          <w:szCs w:val="22"/>
        </w:rPr>
      </w:pPr>
      <w:r w:rsidRPr="00BE23E6">
        <w:rPr>
          <w:b/>
        </w:rPr>
        <w:t>STATEMENT OF APPELLATE JURISDICTION</w:t>
      </w:r>
      <w:r w:rsidRPr="00BE23E6">
        <w:rPr>
          <w:b/>
        </w:rPr>
        <w:tab/>
        <w:t>iii</w:t>
      </w:r>
    </w:p>
    <w:p w:rsidR="00BE23E6" w:rsidRPr="00BE23E6" w:rsidRDefault="00BE23E6" w:rsidP="00BE23E6">
      <w:pPr>
        <w:pStyle w:val="TOC5"/>
        <w:rPr>
          <w:rFonts w:asciiTheme="minorHAnsi" w:eastAsiaTheme="minorEastAsia" w:hAnsiTheme="minorHAnsi" w:cstheme="minorBidi"/>
          <w:b/>
          <w:sz w:val="22"/>
          <w:szCs w:val="22"/>
        </w:rPr>
      </w:pPr>
      <w:r w:rsidRPr="00BE23E6">
        <w:rPr>
          <w:b/>
        </w:rPr>
        <w:t>STATEMENT OF QUESTION PRESENTED</w:t>
      </w:r>
      <w:r w:rsidRPr="00BE23E6">
        <w:rPr>
          <w:b/>
        </w:rPr>
        <w:tab/>
        <w:t>iv</w:t>
      </w:r>
    </w:p>
    <w:p w:rsidR="00BE23E6" w:rsidRPr="00BE23E6" w:rsidRDefault="00BE23E6" w:rsidP="00BE23E6">
      <w:pPr>
        <w:pStyle w:val="TOC5"/>
        <w:rPr>
          <w:rFonts w:asciiTheme="minorHAnsi" w:eastAsiaTheme="minorEastAsia" w:hAnsiTheme="minorHAnsi" w:cstheme="minorBidi"/>
          <w:b/>
          <w:sz w:val="22"/>
          <w:szCs w:val="22"/>
        </w:rPr>
      </w:pPr>
      <w:r w:rsidRPr="00BE23E6">
        <w:rPr>
          <w:b/>
          <w:color w:val="000000"/>
          <w:u w:color="000000"/>
        </w:rPr>
        <w:t>STATEMENT OF FACTS</w:t>
      </w:r>
      <w:r w:rsidRPr="00BE23E6">
        <w:rPr>
          <w:b/>
        </w:rPr>
        <w:tab/>
        <w:t>1</w:t>
      </w:r>
    </w:p>
    <w:p w:rsidR="00BE23E6" w:rsidRPr="00BE23E6" w:rsidRDefault="00BE23E6" w:rsidP="000806BE">
      <w:pPr>
        <w:pStyle w:val="TOC5"/>
        <w:jc w:val="both"/>
        <w:rPr>
          <w:rFonts w:asciiTheme="minorHAnsi" w:eastAsiaTheme="minorEastAsia" w:hAnsiTheme="minorHAnsi" w:cstheme="minorBidi"/>
          <w:b/>
          <w:sz w:val="22"/>
          <w:szCs w:val="22"/>
        </w:rPr>
      </w:pPr>
      <w:r w:rsidRPr="00BE23E6">
        <w:rPr>
          <w:b/>
          <w:color w:val="000000"/>
          <w:u w:color="000000"/>
        </w:rPr>
        <w:t>I.</w:t>
      </w:r>
      <w:r w:rsidRPr="00BE23E6">
        <w:rPr>
          <w:rFonts w:asciiTheme="minorHAnsi" w:eastAsiaTheme="minorEastAsia" w:hAnsiTheme="minorHAnsi" w:cstheme="minorBidi"/>
          <w:b/>
          <w:sz w:val="22"/>
          <w:szCs w:val="22"/>
        </w:rPr>
        <w:tab/>
      </w:r>
      <w:r w:rsidR="00C07700" w:rsidRPr="00C07700">
        <w:rPr>
          <w:b/>
          <w:bCs/>
          <w:color w:val="000000"/>
          <w:u w:color="000000"/>
        </w:rPr>
        <w:t>THE TRIAL COURT IMPOSE</w:t>
      </w:r>
      <w:r w:rsidR="00C07700">
        <w:rPr>
          <w:b/>
          <w:bCs/>
          <w:color w:val="000000"/>
          <w:u w:color="000000"/>
        </w:rPr>
        <w:t>D</w:t>
      </w:r>
      <w:r w:rsidR="00C07700" w:rsidRPr="00C07700">
        <w:rPr>
          <w:b/>
          <w:bCs/>
          <w:color w:val="000000"/>
          <w:u w:color="000000"/>
        </w:rPr>
        <w:t xml:space="preserve"> AN UNREASONABLE SENTENCE OF 17 TO 25 YEARS IMPRISONMENT FOR THE CRIME OF STEALING LESS THAN $200 WHILE “ARMED” </w:t>
      </w:r>
      <w:r w:rsidR="00C07700" w:rsidRPr="00C07700">
        <w:rPr>
          <w:b/>
          <w:bCs/>
          <w:caps/>
          <w:color w:val="000000"/>
          <w:u w:color="000000"/>
        </w:rPr>
        <w:t>FOR</w:t>
      </w:r>
      <w:r w:rsidR="00C07700" w:rsidRPr="00C07700">
        <w:rPr>
          <w:b/>
          <w:bCs/>
          <w:color w:val="000000"/>
          <w:u w:color="000000"/>
        </w:rPr>
        <w:t xml:space="preserve"> THIS MIDDLE-AGE HABITUAL OFFENDER </w:t>
      </w:r>
      <w:r w:rsidR="00C07700" w:rsidRPr="00C07700">
        <w:rPr>
          <w:b/>
          <w:bCs/>
          <w:caps/>
          <w:color w:val="000000"/>
          <w:u w:color="000000"/>
        </w:rPr>
        <w:t>WHO</w:t>
      </w:r>
      <w:r w:rsidR="00C07700" w:rsidRPr="00C07700">
        <w:rPr>
          <w:b/>
          <w:bCs/>
          <w:color w:val="000000"/>
          <w:u w:color="000000"/>
        </w:rPr>
        <w:t xml:space="preserve"> </w:t>
      </w:r>
      <w:r w:rsidR="00C07700" w:rsidRPr="00C07700">
        <w:rPr>
          <w:b/>
          <w:bCs/>
          <w:caps/>
          <w:color w:val="000000"/>
          <w:u w:color="000000"/>
        </w:rPr>
        <w:t xml:space="preserve"> HAD </w:t>
      </w:r>
      <w:r w:rsidR="00C07700" w:rsidRPr="00C07700">
        <w:rPr>
          <w:b/>
          <w:bCs/>
          <w:color w:val="000000"/>
          <w:u w:color="000000"/>
        </w:rPr>
        <w:t>HIS HAND IN HIS POCKET WITH NO ACTUAL WEAPON</w:t>
      </w:r>
      <w:r w:rsidRPr="00BE23E6">
        <w:rPr>
          <w:b/>
          <w:color w:val="000000"/>
          <w:u w:color="000000"/>
        </w:rPr>
        <w:t>.</w:t>
      </w:r>
      <w:r w:rsidRPr="00BE23E6">
        <w:rPr>
          <w:b/>
        </w:rPr>
        <w:tab/>
        <w:t>3</w:t>
      </w:r>
    </w:p>
    <w:p w:rsidR="00BE23E6" w:rsidRPr="00BE23E6" w:rsidRDefault="00BE23E6" w:rsidP="00BE23E6">
      <w:pPr>
        <w:pStyle w:val="TOC5"/>
        <w:rPr>
          <w:rFonts w:asciiTheme="minorHAnsi" w:eastAsiaTheme="minorEastAsia" w:hAnsiTheme="minorHAnsi" w:cstheme="minorBidi"/>
          <w:b/>
          <w:sz w:val="22"/>
          <w:szCs w:val="22"/>
        </w:rPr>
      </w:pPr>
      <w:r w:rsidRPr="00BE23E6">
        <w:rPr>
          <w:b/>
        </w:rPr>
        <w:t>SUMMARY AND RELIEF</w:t>
      </w:r>
      <w:r w:rsidRPr="00BE23E6">
        <w:rPr>
          <w:b/>
        </w:rPr>
        <w:tab/>
        <w:t>13</w:t>
      </w:r>
    </w:p>
    <w:bookmarkEnd w:id="2"/>
    <w:p w:rsidR="00BE23E6" w:rsidRDefault="00BE23E6" w:rsidP="00BE23E6"/>
    <w:p w:rsidR="00BE23E6" w:rsidRDefault="00BE23E6" w:rsidP="00BE23E6"/>
    <w:p w:rsidR="00BE23E6" w:rsidRDefault="000806BE" w:rsidP="00BE23E6">
      <w:bookmarkStart w:id="3" w:name="SATY_UPPER"/>
      <w:r>
        <w:t>AMY</w:t>
      </w:r>
      <w:bookmarkEnd w:id="3"/>
      <w:r w:rsidR="00BE23E6">
        <w:t>*9-22-15 CDA wtrim.docx*</w:t>
      </w:r>
      <w:bookmarkStart w:id="4" w:name="IDEN_No"/>
      <w:r>
        <w:t>28543</w:t>
      </w:r>
      <w:bookmarkEnd w:id="4"/>
      <w:r w:rsidR="00BE23E6">
        <w:t xml:space="preserve">  </w:t>
      </w:r>
    </w:p>
    <w:p w:rsidR="00BE23E6" w:rsidRPr="00BE23E6" w:rsidRDefault="00BE23E6" w:rsidP="00BE23E6">
      <w:pPr>
        <w:sectPr w:rsidR="00BE23E6" w:rsidRPr="00BE23E6">
          <w:footerReference w:type="even" r:id="rId9"/>
          <w:pgSz w:w="12240" w:h="15840"/>
          <w:pgMar w:top="1440" w:right="1440" w:bottom="1440" w:left="1440" w:header="720" w:footer="720" w:gutter="0"/>
          <w:cols w:space="720"/>
        </w:sectPr>
      </w:pPr>
    </w:p>
    <w:p w:rsidR="008A30B0" w:rsidRPr="008A30B0" w:rsidRDefault="008A30B0" w:rsidP="008A30B0">
      <w:pPr>
        <w:pStyle w:val="Heading1"/>
        <w:spacing w:after="0"/>
      </w:pPr>
      <w:bookmarkStart w:id="5" w:name="TOA"/>
      <w:bookmarkStart w:id="6" w:name="_Toc430594477"/>
      <w:bookmarkEnd w:id="5"/>
      <w:r w:rsidRPr="008A30B0">
        <w:lastRenderedPageBreak/>
        <w:t>JUDGMENT APPEALED FROM, RELIEF SOUGHT,</w:t>
      </w:r>
      <w:bookmarkEnd w:id="6"/>
    </w:p>
    <w:p w:rsidR="008A30B0" w:rsidRDefault="008A30B0" w:rsidP="008A30B0">
      <w:pPr>
        <w:pStyle w:val="Heading1"/>
        <w:spacing w:after="0"/>
      </w:pPr>
      <w:bookmarkStart w:id="7" w:name="_Toc430594478"/>
      <w:r>
        <w:t>AND CONCISE ALLEGATIONS OF ERROR</w:t>
      </w:r>
      <w:bookmarkEnd w:id="7"/>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jc w:val="both"/>
        <w:rPr>
          <w:spacing w:val="-3"/>
        </w:rPr>
      </w:pPr>
      <w:r>
        <w:rPr>
          <w:spacing w:val="-3"/>
        </w:rPr>
        <w:tab/>
        <w:t>Defendant appeals from the March 25, 2015 Judgment of Sentence in this matter (Judgment of Sentence and calendar or docket entries, Appendix A).</w:t>
      </w: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80" w:lineRule="auto"/>
        <w:jc w:val="both"/>
        <w:rPr>
          <w:spacing w:val="-3"/>
        </w:rPr>
      </w:pPr>
      <w:r>
        <w:rPr>
          <w:spacing w:val="-3"/>
        </w:rPr>
        <w:tab/>
        <w:t xml:space="preserve">This Court should grant leave to appeal and order resentencing because the 17-year minimum term for this middle age habitual offender who committed an armed robbery with a simulated gun, no injuries to the victim and modest financial loss reflects a disproportionately severe sentence that is unreasonable under the now advisory sentencing guidelines.  </w:t>
      </w:r>
      <w:r>
        <w:rPr>
          <w:spacing w:val="-3"/>
        </w:rPr>
        <w:fldChar w:fldCharType="begin"/>
      </w:r>
      <w:r>
        <w:instrText xml:space="preserve"> TA \l "</w:instrText>
      </w:r>
      <w:r w:rsidRPr="008A30B0">
        <w:rPr>
          <w:i/>
        </w:rPr>
        <w:instrText>See People v Lockridge,,</w:instrText>
      </w:r>
      <w:r w:rsidRPr="008A30B0">
        <w:instrText xml:space="preserve"> ___ Mich ___ (Docket No. 149073, 7/29/15)</w:instrText>
      </w:r>
      <w:r>
        <w:instrText xml:space="preserve">" \s "WSFTA_e5efc7922e864c32ba4473813c396b0f" \c 3 </w:instrText>
      </w:r>
      <w:r>
        <w:rPr>
          <w:spacing w:val="-3"/>
        </w:rPr>
        <w:fldChar w:fldCharType="end"/>
      </w:r>
      <w:r>
        <w:rPr>
          <w:spacing w:val="-3"/>
        </w:rPr>
        <w:t xml:space="preserve">See </w:t>
      </w:r>
      <w:r>
        <w:rPr>
          <w:i/>
          <w:spacing w:val="-3"/>
        </w:rPr>
        <w:t>People v Lockridge,</w:t>
      </w:r>
      <w:r>
        <w:rPr>
          <w:spacing w:val="-3"/>
        </w:rPr>
        <w:t>, ___ Mich ___ (Docket No. 149073, 7/29/15).</w:t>
      </w:r>
    </w:p>
    <w:p w:rsidR="008A30B0" w:rsidRDefault="008A30B0" w:rsidP="008A30B0">
      <w:pPr>
        <w:rPr>
          <w:b/>
          <w:color w:val="000000"/>
          <w:kern w:val="28"/>
          <w:sz w:val="28"/>
          <w:u w:val="single" w:color="000000"/>
        </w:rPr>
      </w:pPr>
      <w:r>
        <w:rPr>
          <w:spacing w:val="-3"/>
        </w:rPr>
        <w:br w:type="page"/>
      </w:r>
    </w:p>
    <w:p w:rsidR="008A30B0" w:rsidRDefault="008A30B0" w:rsidP="001B3FFF">
      <w:pPr>
        <w:pStyle w:val="Heading1"/>
        <w:rPr>
          <w:color w:val="000000"/>
          <w:u w:color="000000"/>
        </w:rPr>
      </w:pPr>
      <w:bookmarkStart w:id="8" w:name="SOJ"/>
      <w:bookmarkStart w:id="9" w:name="_Toc430594479"/>
      <w:bookmarkEnd w:id="8"/>
      <w:r>
        <w:rPr>
          <w:color w:val="000000"/>
          <w:u w:color="000000"/>
        </w:rPr>
        <w:lastRenderedPageBreak/>
        <w:t>TABLE OF AUTHORITIES</w:t>
      </w:r>
      <w:bookmarkEnd w:id="9"/>
    </w:p>
    <w:p w:rsidR="008A30B0" w:rsidRDefault="008A30B0">
      <w:pPr>
        <w:rPr>
          <w:color w:val="000000"/>
          <w:u w:color="000000"/>
        </w:rPr>
      </w:pPr>
    </w:p>
    <w:p w:rsidR="008A30B0" w:rsidRPr="00E415BD" w:rsidRDefault="00E415BD" w:rsidP="00BE23E6">
      <w:pPr>
        <w:pStyle w:val="TOAHeading"/>
        <w:tabs>
          <w:tab w:val="right" w:leader="dot" w:pos="9350"/>
        </w:tabs>
        <w:jc w:val="center"/>
        <w:rPr>
          <w:rFonts w:ascii="Times New Roman" w:hAnsi="Times New Roman" w:cs="Times New Roman"/>
          <w:b/>
          <w:i w:val="0"/>
          <w:noProof/>
        </w:rPr>
      </w:pPr>
      <w:r w:rsidRPr="00E415BD">
        <w:rPr>
          <w:rFonts w:ascii="Times New Roman" w:hAnsi="Times New Roman" w:cs="Times New Roman"/>
          <w:b/>
          <w:i w:val="0"/>
          <w:noProof/>
        </w:rPr>
        <w:t>CASES</w:t>
      </w:r>
    </w:p>
    <w:p w:rsidR="008A30B0" w:rsidRPr="008A30B0" w:rsidRDefault="008A30B0" w:rsidP="008A30B0">
      <w:pPr>
        <w:rPr>
          <w:rFonts w:eastAsiaTheme="minorEastAsia"/>
        </w:rPr>
      </w:pPr>
    </w:p>
    <w:p w:rsidR="008A30B0" w:rsidRDefault="008A30B0" w:rsidP="008A30B0">
      <w:pPr>
        <w:pStyle w:val="TableofAuthorities"/>
        <w:tabs>
          <w:tab w:val="right" w:leader="dot" w:pos="9350"/>
        </w:tabs>
        <w:rPr>
          <w:noProof/>
        </w:rPr>
      </w:pPr>
      <w:r w:rsidRPr="0086067F">
        <w:rPr>
          <w:i/>
          <w:noProof/>
        </w:rPr>
        <w:t>People v Babcock</w:t>
      </w:r>
      <w:r>
        <w:rPr>
          <w:noProof/>
        </w:rPr>
        <w:t>, 469 Mich 247</w:t>
      </w:r>
      <w:r w:rsidR="00215124">
        <w:rPr>
          <w:noProof/>
        </w:rPr>
        <w:t>; 666 N.W.2d 231</w:t>
      </w:r>
      <w:r>
        <w:rPr>
          <w:noProof/>
        </w:rPr>
        <w:t xml:space="preserve"> (2003)</w:t>
      </w:r>
      <w:r>
        <w:rPr>
          <w:noProof/>
        </w:rPr>
        <w:tab/>
        <w:t>4</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People v Broden</w:t>
      </w:r>
      <w:r>
        <w:rPr>
          <w:noProof/>
        </w:rPr>
        <w:t>, 428 Mich 343</w:t>
      </w:r>
      <w:r w:rsidR="00215124">
        <w:rPr>
          <w:noProof/>
        </w:rPr>
        <w:t>; 408 N.W.2d 789</w:t>
      </w:r>
      <w:r>
        <w:rPr>
          <w:noProof/>
        </w:rPr>
        <w:t xml:space="preserve"> (1987)</w:t>
      </w:r>
      <w:r>
        <w:rPr>
          <w:noProof/>
        </w:rPr>
        <w:tab/>
        <w:t>3</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People v Coles</w:t>
      </w:r>
      <w:r>
        <w:rPr>
          <w:noProof/>
        </w:rPr>
        <w:t>, 417 Mich 523</w:t>
      </w:r>
      <w:r w:rsidR="00215124">
        <w:rPr>
          <w:noProof/>
        </w:rPr>
        <w:t>; 339 N.W. 2d 440</w:t>
      </w:r>
      <w:r>
        <w:rPr>
          <w:noProof/>
        </w:rPr>
        <w:t xml:space="preserve"> (1983)</w:t>
      </w:r>
      <w:r>
        <w:rPr>
          <w:noProof/>
        </w:rPr>
        <w:tab/>
        <w:t>4, 10</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People v Curry</w:t>
      </w:r>
      <w:r>
        <w:rPr>
          <w:noProof/>
        </w:rPr>
        <w:t xml:space="preserve"> (On Remand), 142 Mich App 724</w:t>
      </w:r>
      <w:r w:rsidR="00215124">
        <w:rPr>
          <w:noProof/>
        </w:rPr>
        <w:t xml:space="preserve">; 371 N.W.2d 854 </w:t>
      </w:r>
      <w:r>
        <w:rPr>
          <w:noProof/>
        </w:rPr>
        <w:t xml:space="preserve"> (1985)</w:t>
      </w:r>
      <w:r>
        <w:rPr>
          <w:noProof/>
        </w:rPr>
        <w:tab/>
        <w:t>11</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People v Hansford</w:t>
      </w:r>
      <w:r>
        <w:rPr>
          <w:noProof/>
        </w:rPr>
        <w:t>, 454 Mich 320</w:t>
      </w:r>
      <w:r w:rsidR="00AA15BE">
        <w:rPr>
          <w:noProof/>
        </w:rPr>
        <w:t>; 562 N.W.2d 460</w:t>
      </w:r>
      <w:r>
        <w:rPr>
          <w:noProof/>
        </w:rPr>
        <w:t xml:space="preserve"> (1997)</w:t>
      </w:r>
      <w:r>
        <w:rPr>
          <w:noProof/>
        </w:rPr>
        <w:tab/>
        <w:t>11</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People v Milbourn</w:t>
      </w:r>
      <w:r>
        <w:rPr>
          <w:noProof/>
        </w:rPr>
        <w:t>, 435 Mich 630</w:t>
      </w:r>
      <w:r w:rsidR="00AA15BE">
        <w:rPr>
          <w:noProof/>
        </w:rPr>
        <w:t>; 461 N.W. 2d1</w:t>
      </w:r>
      <w:r>
        <w:rPr>
          <w:noProof/>
        </w:rPr>
        <w:t xml:space="preserve"> (1990)</w:t>
      </w:r>
      <w:r>
        <w:rPr>
          <w:noProof/>
        </w:rPr>
        <w:tab/>
        <w:t>4, 5</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People v Smith</w:t>
      </w:r>
      <w:r>
        <w:rPr>
          <w:noProof/>
        </w:rPr>
        <w:t>, 482 Mich 292</w:t>
      </w:r>
      <w:r w:rsidR="00AA15BE">
        <w:rPr>
          <w:noProof/>
        </w:rPr>
        <w:t xml:space="preserve">; 754 N.W. 2d 284 </w:t>
      </w:r>
      <w:r>
        <w:rPr>
          <w:noProof/>
        </w:rPr>
        <w:t>(2008)</w:t>
      </w:r>
      <w:r>
        <w:rPr>
          <w:noProof/>
        </w:rPr>
        <w:tab/>
        <w:t>3</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Rita v United States</w:t>
      </w:r>
      <w:r>
        <w:rPr>
          <w:noProof/>
        </w:rPr>
        <w:t>, 551 US 338</w:t>
      </w:r>
      <w:r w:rsidR="00AA15BE">
        <w:rPr>
          <w:noProof/>
        </w:rPr>
        <w:t>; 127 S.Ct 2456</w:t>
      </w:r>
      <w:r>
        <w:rPr>
          <w:noProof/>
        </w:rPr>
        <w:t xml:space="preserve"> (2007)</w:t>
      </w:r>
      <w:r>
        <w:rPr>
          <w:noProof/>
        </w:rPr>
        <w:tab/>
        <w:t>5</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See People v Lockridge,,</w:t>
      </w:r>
      <w:r>
        <w:rPr>
          <w:noProof/>
        </w:rPr>
        <w:t xml:space="preserve"> ___ Mich ___ (Docket No. 149073, 7/29/15)</w:t>
      </w:r>
      <w:r>
        <w:rPr>
          <w:noProof/>
        </w:rPr>
        <w:tab/>
        <w:t>3</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United States v Booker</w:t>
      </w:r>
      <w:r>
        <w:rPr>
          <w:noProof/>
        </w:rPr>
        <w:t>, 543 US 220</w:t>
      </w:r>
      <w:r w:rsidR="00AA15BE">
        <w:rPr>
          <w:noProof/>
        </w:rPr>
        <w:t>; 125 S. Ct 738</w:t>
      </w:r>
      <w:r>
        <w:rPr>
          <w:noProof/>
        </w:rPr>
        <w:t xml:space="preserve"> (2005)</w:t>
      </w:r>
      <w:r>
        <w:rPr>
          <w:noProof/>
        </w:rPr>
        <w:tab/>
        <w:t>4, 5</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United States v Gall,</w:t>
      </w:r>
      <w:r>
        <w:rPr>
          <w:noProof/>
        </w:rPr>
        <w:t xml:space="preserve"> 552 US 38</w:t>
      </w:r>
      <w:r w:rsidR="00AA15BE">
        <w:rPr>
          <w:noProof/>
        </w:rPr>
        <w:t>; 128 S.Ct 586; 169 L.Ed.2d 445</w:t>
      </w:r>
      <w:r>
        <w:rPr>
          <w:noProof/>
        </w:rPr>
        <w:t xml:space="preserve"> (2007)</w:t>
      </w:r>
      <w:r>
        <w:rPr>
          <w:noProof/>
        </w:rPr>
        <w:tab/>
        <w:t>5</w:t>
      </w:r>
    </w:p>
    <w:p w:rsidR="008A30B0" w:rsidRPr="008A30B0" w:rsidRDefault="008A30B0" w:rsidP="008A30B0"/>
    <w:p w:rsidR="008A30B0" w:rsidRDefault="008A30B0" w:rsidP="008A30B0">
      <w:pPr>
        <w:pStyle w:val="TableofAuthorities"/>
        <w:tabs>
          <w:tab w:val="right" w:leader="dot" w:pos="9350"/>
        </w:tabs>
        <w:rPr>
          <w:noProof/>
        </w:rPr>
      </w:pPr>
      <w:r w:rsidRPr="0086067F">
        <w:rPr>
          <w:i/>
          <w:noProof/>
        </w:rPr>
        <w:t>United States v Payton</w:t>
      </w:r>
      <w:r>
        <w:rPr>
          <w:noProof/>
        </w:rPr>
        <w:t>, 754 F3d 375 (CA 6, 2014)</w:t>
      </w:r>
      <w:r>
        <w:rPr>
          <w:noProof/>
        </w:rPr>
        <w:tab/>
        <w:t>11</w:t>
      </w:r>
    </w:p>
    <w:p w:rsidR="00AA15BE" w:rsidRPr="00AA15BE" w:rsidRDefault="00AA15BE" w:rsidP="00AA15BE"/>
    <w:p w:rsidR="008A30B0" w:rsidRPr="00E415BD" w:rsidRDefault="00E415BD" w:rsidP="00BE23E6">
      <w:pPr>
        <w:pStyle w:val="TOAHeading"/>
        <w:tabs>
          <w:tab w:val="right" w:leader="dot" w:pos="9350"/>
        </w:tabs>
        <w:jc w:val="center"/>
        <w:rPr>
          <w:rFonts w:ascii="Times New Roman" w:hAnsi="Times New Roman" w:cs="Times New Roman"/>
          <w:b/>
          <w:i w:val="0"/>
          <w:noProof/>
        </w:rPr>
      </w:pPr>
      <w:r w:rsidRPr="00E415BD">
        <w:rPr>
          <w:rFonts w:ascii="Times New Roman" w:hAnsi="Times New Roman" w:cs="Times New Roman"/>
          <w:b/>
          <w:i w:val="0"/>
          <w:noProof/>
        </w:rPr>
        <w:t>CONSTITUTIONS, STATUTES, COURT RULES</w:t>
      </w:r>
    </w:p>
    <w:p w:rsidR="008A30B0" w:rsidRPr="00E415BD" w:rsidRDefault="008A30B0" w:rsidP="00BE23E6">
      <w:pPr>
        <w:jc w:val="center"/>
        <w:rPr>
          <w:rFonts w:eastAsiaTheme="minorEastAsia"/>
        </w:rPr>
      </w:pPr>
    </w:p>
    <w:p w:rsidR="008A30B0" w:rsidRDefault="008A30B0" w:rsidP="008A30B0">
      <w:pPr>
        <w:pStyle w:val="TableofAuthorities"/>
        <w:tabs>
          <w:tab w:val="right" w:leader="dot" w:pos="9350"/>
        </w:tabs>
        <w:rPr>
          <w:noProof/>
        </w:rPr>
      </w:pPr>
      <w:r>
        <w:rPr>
          <w:noProof/>
        </w:rPr>
        <w:t>MCL 750.529</w:t>
      </w:r>
      <w:r>
        <w:rPr>
          <w:noProof/>
        </w:rPr>
        <w:tab/>
        <w:t>1</w:t>
      </w:r>
    </w:p>
    <w:p w:rsidR="008A30B0" w:rsidRPr="008A30B0" w:rsidRDefault="008A30B0" w:rsidP="008A30B0"/>
    <w:p w:rsidR="008A30B0" w:rsidRDefault="008A30B0" w:rsidP="008A30B0">
      <w:pPr>
        <w:pStyle w:val="TableofAuthorities"/>
        <w:tabs>
          <w:tab w:val="right" w:leader="dot" w:pos="9350"/>
        </w:tabs>
        <w:rPr>
          <w:noProof/>
        </w:rPr>
      </w:pPr>
      <w:r>
        <w:rPr>
          <w:noProof/>
        </w:rPr>
        <w:t>MCL 769.34</w:t>
      </w:r>
      <w:r>
        <w:rPr>
          <w:noProof/>
        </w:rPr>
        <w:tab/>
        <w:t>5</w:t>
      </w:r>
    </w:p>
    <w:p w:rsidR="008A30B0" w:rsidRPr="008A30B0" w:rsidRDefault="008A30B0" w:rsidP="008A30B0"/>
    <w:p w:rsidR="008A30B0" w:rsidRDefault="008A30B0" w:rsidP="008A30B0">
      <w:pPr>
        <w:pStyle w:val="TableofAuthorities"/>
        <w:tabs>
          <w:tab w:val="right" w:leader="dot" w:pos="9350"/>
        </w:tabs>
        <w:rPr>
          <w:noProof/>
        </w:rPr>
      </w:pPr>
      <w:r>
        <w:rPr>
          <w:noProof/>
        </w:rPr>
        <w:t>MCL 769.34(10)</w:t>
      </w:r>
      <w:r>
        <w:rPr>
          <w:noProof/>
        </w:rPr>
        <w:tab/>
        <w:t>5, 6</w:t>
      </w:r>
    </w:p>
    <w:p w:rsidR="00215124" w:rsidRPr="00215124" w:rsidRDefault="00215124" w:rsidP="00215124"/>
    <w:p w:rsidR="008A30B0" w:rsidRDefault="008A30B0">
      <w:pPr>
        <w:rPr>
          <w:color w:val="000000"/>
          <w:u w:color="000000"/>
        </w:rPr>
      </w:pPr>
    </w:p>
    <w:p w:rsidR="008A30B0" w:rsidRDefault="008A30B0">
      <w:pPr>
        <w:rPr>
          <w:color w:val="000000"/>
          <w:u w:color="000000"/>
        </w:rPr>
      </w:pPr>
    </w:p>
    <w:p w:rsidR="00AA15BE" w:rsidRDefault="00AA15BE">
      <w:pPr>
        <w:rPr>
          <w:color w:val="000000"/>
          <w:u w:color="000000"/>
        </w:rPr>
      </w:pPr>
    </w:p>
    <w:p w:rsidR="00AA15BE" w:rsidRDefault="00AA15BE">
      <w:pPr>
        <w:rPr>
          <w:color w:val="000000"/>
          <w:u w:color="000000"/>
        </w:rPr>
      </w:pPr>
    </w:p>
    <w:p w:rsidR="008A30B0" w:rsidRDefault="008A30B0">
      <w:pPr>
        <w:rPr>
          <w:color w:val="000000"/>
          <w:u w:color="000000"/>
        </w:rPr>
      </w:pPr>
    </w:p>
    <w:p w:rsidR="008A30B0" w:rsidRDefault="008A30B0" w:rsidP="008A30B0">
      <w:pPr>
        <w:pStyle w:val="Heading1"/>
      </w:pPr>
      <w:bookmarkStart w:id="10" w:name="SOQ"/>
      <w:bookmarkStart w:id="11" w:name="_Toc430594480"/>
      <w:bookmarkEnd w:id="10"/>
      <w:r>
        <w:lastRenderedPageBreak/>
        <w:t>STATEMENT OF APPELLATE JURISDICTION</w:t>
      </w:r>
      <w:bookmarkEnd w:id="11"/>
    </w:p>
    <w:p w:rsidR="008A30B0" w:rsidRDefault="008A30B0" w:rsidP="008A30B0">
      <w:pPr>
        <w:tabs>
          <w:tab w:val="left" w:pos="-1440"/>
          <w:tab w:val="left" w:pos="-720"/>
        </w:tabs>
        <w:suppressAutoHyphens/>
        <w:spacing w:line="480" w:lineRule="auto"/>
        <w:jc w:val="both"/>
        <w:rPr>
          <w:spacing w:val="-3"/>
        </w:rPr>
      </w:pPr>
      <w:r>
        <w:rPr>
          <w:spacing w:val="-3"/>
        </w:rPr>
        <w:tab/>
        <w:t xml:space="preserve">Defendant-Appellant </w:t>
      </w:r>
      <w:r w:rsidR="003629D0">
        <w:rPr>
          <w:spacing w:val="-3"/>
        </w:rPr>
        <w:t xml:space="preserve"> </w:t>
      </w:r>
      <w:r>
        <w:rPr>
          <w:spacing w:val="-3"/>
        </w:rPr>
        <w:t xml:space="preserve"> moves for leave to appeal from his </w:t>
      </w:r>
      <w:r>
        <w:rPr>
          <w:spacing w:val="-3"/>
        </w:rPr>
        <w:fldChar w:fldCharType="begin">
          <w:ffData>
            <w:name w:val="Conviction_date"/>
            <w:enabled/>
            <w:calcOnExit w:val="0"/>
            <w:textInput/>
          </w:ffData>
        </w:fldChar>
      </w:r>
      <w:bookmarkStart w:id="12" w:name="Conviction_date"/>
      <w:r>
        <w:rPr>
          <w:spacing w:val="-3"/>
        </w:rPr>
        <w:instrText xml:space="preserve"> FORMTEXT </w:instrText>
      </w:r>
      <w:r>
        <w:rPr>
          <w:spacing w:val="-3"/>
        </w:rPr>
      </w:r>
      <w:r>
        <w:rPr>
          <w:spacing w:val="-3"/>
        </w:rPr>
        <w:fldChar w:fldCharType="separate"/>
      </w:r>
      <w:r w:rsidR="000806BE">
        <w:rPr>
          <w:spacing w:val="-3"/>
        </w:rPr>
        <w:t>November 13, 2014</w:t>
      </w:r>
      <w:r>
        <w:rPr>
          <w:spacing w:val="-3"/>
        </w:rPr>
        <w:fldChar w:fldCharType="end"/>
      </w:r>
      <w:bookmarkEnd w:id="12"/>
      <w:r>
        <w:rPr>
          <w:spacing w:val="-3"/>
        </w:rPr>
        <w:t xml:space="preserve"> guilty plea and </w:t>
      </w:r>
      <w:r>
        <w:rPr>
          <w:spacing w:val="-3"/>
        </w:rPr>
        <w:fldChar w:fldCharType="begin">
          <w:ffData>
            <w:name w:val="Sentence_date"/>
            <w:enabled/>
            <w:calcOnExit w:val="0"/>
            <w:textInput/>
          </w:ffData>
        </w:fldChar>
      </w:r>
      <w:r>
        <w:rPr>
          <w:spacing w:val="-3"/>
        </w:rPr>
        <w:instrText xml:space="preserve"> FORMTEXT </w:instrText>
      </w:r>
      <w:r>
        <w:rPr>
          <w:spacing w:val="-3"/>
        </w:rPr>
      </w:r>
      <w:r>
        <w:rPr>
          <w:spacing w:val="-3"/>
        </w:rPr>
        <w:fldChar w:fldCharType="separate"/>
      </w:r>
      <w:r w:rsidR="000806BE">
        <w:rPr>
          <w:spacing w:val="-3"/>
        </w:rPr>
        <w:t>March 25, 2015</w:t>
      </w:r>
      <w:r>
        <w:rPr>
          <w:spacing w:val="-3"/>
        </w:rPr>
        <w:fldChar w:fldCharType="end"/>
      </w:r>
      <w:r>
        <w:rPr>
          <w:spacing w:val="-3"/>
        </w:rPr>
        <w:t xml:space="preserve"> sentencing in the </w:t>
      </w:r>
      <w:r>
        <w:rPr>
          <w:spacing w:val="-3"/>
        </w:rPr>
        <w:fldChar w:fldCharType="begin">
          <w:ffData>
            <w:name w:val="LC_Name_lower"/>
            <w:enabled/>
            <w:calcOnExit w:val="0"/>
            <w:textInput/>
          </w:ffData>
        </w:fldChar>
      </w:r>
      <w:bookmarkStart w:id="13" w:name="LC_Name_lower"/>
      <w:r>
        <w:rPr>
          <w:spacing w:val="-3"/>
        </w:rPr>
        <w:instrText xml:space="preserve"> FORMTEXT </w:instrText>
      </w:r>
      <w:r>
        <w:rPr>
          <w:spacing w:val="-3"/>
        </w:rPr>
      </w:r>
      <w:r>
        <w:rPr>
          <w:spacing w:val="-3"/>
        </w:rPr>
        <w:fldChar w:fldCharType="separate"/>
      </w:r>
      <w:r w:rsidR="000806BE">
        <w:rPr>
          <w:spacing w:val="-3"/>
        </w:rPr>
        <w:t>Ingham County Circuit Court</w:t>
      </w:r>
      <w:r>
        <w:rPr>
          <w:spacing w:val="-3"/>
        </w:rPr>
        <w:fldChar w:fldCharType="end"/>
      </w:r>
      <w:bookmarkEnd w:id="13"/>
      <w:r>
        <w:rPr>
          <w:spacing w:val="-3"/>
        </w:rPr>
        <w:t xml:space="preserve">.   MCR 7.203(B)(1); </w:t>
      </w:r>
      <w:r>
        <w:rPr>
          <w:spacing w:val="-3"/>
        </w:rPr>
        <w:fldChar w:fldCharType="begin"/>
      </w:r>
      <w:r>
        <w:instrText xml:space="preserve"> TA \l "</w:instrText>
      </w:r>
      <w:r w:rsidRPr="008A30B0">
        <w:instrText>MCR 7.203(A)(1)(b)</w:instrText>
      </w:r>
      <w:r>
        <w:instrText xml:space="preserve">" \s "WSFTA_e6c352d946054dd3a9a9de614f43cf2c" \c 9 </w:instrText>
      </w:r>
      <w:r>
        <w:rPr>
          <w:spacing w:val="-3"/>
        </w:rPr>
        <w:fldChar w:fldCharType="end"/>
      </w:r>
      <w:r>
        <w:rPr>
          <w:spacing w:val="-3"/>
        </w:rPr>
        <w:t xml:space="preserve">MCR 7.203(A)(1)(b).    The judgment of sentence was filed on </w:t>
      </w:r>
      <w:r>
        <w:rPr>
          <w:spacing w:val="-3"/>
        </w:rPr>
        <w:fldChar w:fldCharType="begin">
          <w:ffData>
            <w:name w:val="Sentence_date"/>
            <w:enabled/>
            <w:calcOnExit w:val="0"/>
            <w:textInput/>
          </w:ffData>
        </w:fldChar>
      </w:r>
      <w:bookmarkStart w:id="14" w:name="Sentence_date"/>
      <w:r>
        <w:rPr>
          <w:spacing w:val="-3"/>
        </w:rPr>
        <w:instrText xml:space="preserve"> FORMTEXT </w:instrText>
      </w:r>
      <w:r>
        <w:rPr>
          <w:spacing w:val="-3"/>
        </w:rPr>
      </w:r>
      <w:r>
        <w:rPr>
          <w:spacing w:val="-3"/>
        </w:rPr>
        <w:fldChar w:fldCharType="separate"/>
      </w:r>
      <w:r w:rsidR="000806BE">
        <w:rPr>
          <w:spacing w:val="-3"/>
        </w:rPr>
        <w:t>March 25, 2015</w:t>
      </w:r>
      <w:r>
        <w:rPr>
          <w:spacing w:val="-3"/>
        </w:rPr>
        <w:fldChar w:fldCharType="end"/>
      </w:r>
      <w:bookmarkEnd w:id="14"/>
      <w:r>
        <w:rPr>
          <w:spacing w:val="-3"/>
        </w:rPr>
        <w:t xml:space="preserve">.  </w:t>
      </w:r>
      <w:r>
        <w:rPr>
          <w:spacing w:val="-3"/>
        </w:rPr>
        <w:fldChar w:fldCharType="begin">
          <w:ffData>
            <w:name w:val="Client_Mr_Ms"/>
            <w:enabled/>
            <w:calcOnExit w:val="0"/>
            <w:textInput/>
          </w:ffData>
        </w:fldChar>
      </w:r>
      <w:r>
        <w:rPr>
          <w:spacing w:val="-3"/>
        </w:rPr>
        <w:instrText xml:space="preserve"> FORMTEXT </w:instrText>
      </w:r>
      <w:r>
        <w:rPr>
          <w:spacing w:val="-3"/>
        </w:rPr>
      </w:r>
      <w:r>
        <w:rPr>
          <w:spacing w:val="-3"/>
        </w:rPr>
        <w:fldChar w:fldCharType="separate"/>
      </w:r>
      <w:r w:rsidR="000806BE">
        <w:rPr>
          <w:spacing w:val="-3"/>
        </w:rPr>
        <w:t xml:space="preserve">Mr. </w:t>
      </w:r>
      <w:r>
        <w:rPr>
          <w:spacing w:val="-3"/>
        </w:rPr>
        <w:fldChar w:fldCharType="end"/>
      </w:r>
      <w:r>
        <w:rPr>
          <w:spacing w:val="-3"/>
        </w:rPr>
        <w:t xml:space="preserve"> </w:t>
      </w:r>
      <w:r>
        <w:rPr>
          <w:spacing w:val="-3"/>
        </w:rPr>
        <w:fldChar w:fldCharType="begin">
          <w:ffData>
            <w:name w:val="Client_Last_Name"/>
            <w:enabled/>
            <w:calcOnExit w:val="0"/>
            <w:textInput/>
          </w:ffData>
        </w:fldChar>
      </w:r>
      <w:r>
        <w:rPr>
          <w:spacing w:val="-3"/>
        </w:rPr>
        <w:instrText xml:space="preserve"> FORMTEXT </w:instrText>
      </w:r>
      <w:r>
        <w:rPr>
          <w:spacing w:val="-3"/>
        </w:rPr>
      </w:r>
      <w:r>
        <w:rPr>
          <w:spacing w:val="-3"/>
        </w:rPr>
        <w:fldChar w:fldCharType="separate"/>
      </w:r>
      <w:r w:rsidR="003629D0">
        <w:rPr>
          <w:spacing w:val="-3"/>
        </w:rPr>
        <w:t>Defendant</w:t>
      </w:r>
      <w:r>
        <w:rPr>
          <w:spacing w:val="-3"/>
        </w:rPr>
        <w:fldChar w:fldCharType="end"/>
      </w:r>
      <w:r>
        <w:rPr>
          <w:spacing w:val="-3"/>
        </w:rPr>
        <w:t xml:space="preserve"> made a timely request for appellate counsel on </w:t>
      </w:r>
      <w:r>
        <w:rPr>
          <w:spacing w:val="-3"/>
        </w:rPr>
        <w:fldChar w:fldCharType="begin">
          <w:ffData>
            <w:name w:val="App_counsel_reqstd"/>
            <w:enabled/>
            <w:calcOnExit w:val="0"/>
            <w:textInput/>
          </w:ffData>
        </w:fldChar>
      </w:r>
      <w:bookmarkStart w:id="15" w:name="App_counsel_reqstd"/>
      <w:r>
        <w:rPr>
          <w:spacing w:val="-3"/>
        </w:rPr>
        <w:instrText xml:space="preserve"> FORMTEXT </w:instrText>
      </w:r>
      <w:r>
        <w:rPr>
          <w:spacing w:val="-3"/>
        </w:rPr>
      </w:r>
      <w:r>
        <w:rPr>
          <w:spacing w:val="-3"/>
        </w:rPr>
        <w:fldChar w:fldCharType="separate"/>
      </w:r>
      <w:r w:rsidR="000806BE">
        <w:rPr>
          <w:spacing w:val="-3"/>
        </w:rPr>
        <w:t>March 30, 2015</w:t>
      </w:r>
      <w:r>
        <w:rPr>
          <w:spacing w:val="-3"/>
        </w:rPr>
        <w:fldChar w:fldCharType="end"/>
      </w:r>
      <w:bookmarkEnd w:id="15"/>
      <w:r>
        <w:rPr>
          <w:spacing w:val="-3"/>
        </w:rPr>
        <w:t>.  The circuit court appointed appellate counsel on June 10, 2015.</w:t>
      </w:r>
    </w:p>
    <w:p w:rsidR="008A30B0" w:rsidRDefault="008A30B0" w:rsidP="008A30B0">
      <w:pPr>
        <w:tabs>
          <w:tab w:val="left" w:pos="-1440"/>
          <w:tab w:val="left" w:pos="-720"/>
        </w:tabs>
        <w:suppressAutoHyphens/>
        <w:spacing w:line="480" w:lineRule="auto"/>
        <w:jc w:val="both"/>
        <w:rPr>
          <w:spacing w:val="-3"/>
        </w:rPr>
      </w:pPr>
      <w:r>
        <w:rPr>
          <w:spacing w:val="-3"/>
        </w:rPr>
        <w:tab/>
        <w:t xml:space="preserve">This delayed application is filed within six months of the sentencing date.  </w:t>
      </w:r>
      <w:r>
        <w:rPr>
          <w:spacing w:val="-3"/>
        </w:rPr>
        <w:fldChar w:fldCharType="begin"/>
      </w:r>
      <w:r>
        <w:instrText xml:space="preserve"> TA \l "</w:instrText>
      </w:r>
      <w:r w:rsidRPr="008A30B0">
        <w:instrText>MCR 7.205(G)(3)</w:instrText>
      </w:r>
      <w:r>
        <w:instrText xml:space="preserve">" \s "WSFTA_d0190f3e84ab440d9249b42ec83044c6" \c 9 </w:instrText>
      </w:r>
      <w:r>
        <w:rPr>
          <w:spacing w:val="-3"/>
        </w:rPr>
        <w:fldChar w:fldCharType="end"/>
      </w:r>
      <w:r>
        <w:rPr>
          <w:spacing w:val="-3"/>
        </w:rPr>
        <w:t>MCR 7.205(G)(3).</w:t>
      </w:r>
    </w:p>
    <w:p w:rsidR="008A30B0" w:rsidRDefault="008A30B0" w:rsidP="008A30B0">
      <w:pPr>
        <w:pStyle w:val="Heading1"/>
      </w:pPr>
      <w:r>
        <w:rPr>
          <w:spacing w:val="-3"/>
        </w:rPr>
        <w:br w:type="page"/>
      </w:r>
      <w:bookmarkStart w:id="16" w:name="_Toc430594481"/>
      <w:r>
        <w:lastRenderedPageBreak/>
        <w:t>STATEMENT OF QUESTION PRESENTED</w:t>
      </w:r>
      <w:bookmarkEnd w:id="16"/>
    </w:p>
    <w:p w:rsidR="008A30B0" w:rsidRDefault="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8A30B0" w:rsidRPr="008A30B0" w:rsidRDefault="00BE23E6" w:rsidP="008A30B0">
      <w:pPr>
        <w:pStyle w:val="ISSUE"/>
        <w:numPr>
          <w:ilvl w:val="0"/>
          <w:numId w:val="17"/>
        </w:numPr>
        <w:rPr>
          <w:rFonts w:eastAsiaTheme="minorEastAsia" w:cstheme="minorBidi"/>
          <w:bCs/>
          <w:color w:val="000000"/>
          <w:szCs w:val="22"/>
          <w:u w:color="000000"/>
        </w:rPr>
      </w:pPr>
      <w:bookmarkStart w:id="17" w:name="QUESTIONS"/>
      <w:bookmarkStart w:id="18" w:name="_Toc430594482"/>
      <w:bookmarkEnd w:id="17"/>
      <w:r>
        <w:rPr>
          <w:bCs/>
          <w:caps w:val="0"/>
          <w:noProof/>
          <w:color w:val="000000"/>
          <w:u w:color="000000"/>
        </w:rPr>
        <w:t>DID THE TRIAL COURT IMPOSE</w:t>
      </w:r>
      <w:r w:rsidRPr="008A30B0">
        <w:rPr>
          <w:bCs/>
          <w:caps w:val="0"/>
          <w:noProof/>
          <w:color w:val="000000"/>
          <w:u w:color="000000"/>
        </w:rPr>
        <w:t xml:space="preserve"> AN UNREASONABLE SENTENCE OF 17 TO 25 YEARS IMPRISONMENT FOR THE CRIME OF STEALING LESS THAN $200 WHILE “ARMED” </w:t>
      </w:r>
      <w:r w:rsidR="00C07700">
        <w:rPr>
          <w:bCs/>
          <w:caps w:val="0"/>
          <w:noProof/>
          <w:color w:val="000000"/>
          <w:u w:color="000000"/>
        </w:rPr>
        <w:t>FOR</w:t>
      </w:r>
      <w:r w:rsidRPr="008A30B0">
        <w:rPr>
          <w:bCs/>
          <w:caps w:val="0"/>
          <w:noProof/>
          <w:color w:val="000000"/>
          <w:u w:color="000000"/>
        </w:rPr>
        <w:t xml:space="preserve"> THIS MIDDLE-AGE HABITUAL OFFENDER </w:t>
      </w:r>
      <w:r w:rsidR="00C07700">
        <w:rPr>
          <w:bCs/>
          <w:caps w:val="0"/>
          <w:noProof/>
          <w:color w:val="000000"/>
          <w:u w:color="000000"/>
        </w:rPr>
        <w:t>WHO</w:t>
      </w:r>
      <w:r w:rsidRPr="008A30B0">
        <w:rPr>
          <w:bCs/>
          <w:caps w:val="0"/>
          <w:noProof/>
          <w:color w:val="000000"/>
          <w:u w:color="000000"/>
        </w:rPr>
        <w:t xml:space="preserve"> </w:t>
      </w:r>
      <w:r w:rsidR="00C07700">
        <w:rPr>
          <w:bCs/>
          <w:caps w:val="0"/>
          <w:noProof/>
          <w:color w:val="000000"/>
          <w:u w:color="000000"/>
        </w:rPr>
        <w:t xml:space="preserve"> HAD </w:t>
      </w:r>
      <w:r w:rsidRPr="008A30B0">
        <w:rPr>
          <w:bCs/>
          <w:caps w:val="0"/>
          <w:noProof/>
          <w:color w:val="000000"/>
          <w:u w:color="000000"/>
        </w:rPr>
        <w:t>HIS HAND IN H</w:t>
      </w:r>
      <w:r>
        <w:rPr>
          <w:bCs/>
          <w:caps w:val="0"/>
          <w:noProof/>
          <w:color w:val="000000"/>
          <w:u w:color="000000"/>
        </w:rPr>
        <w:t>IS POCKET WITH NO ACTUAL WEAPON?</w:t>
      </w:r>
      <w:bookmarkEnd w:id="18"/>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bookmarkStart w:id="19" w:name="My_Reply"/>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r>
        <w:rPr>
          <w:spacing w:val="-3"/>
        </w:rPr>
        <w:fldChar w:fldCharType="begin">
          <w:ffData>
            <w:name w:val="My_Court1"/>
            <w:enabled/>
            <w:calcOnExit w:val="0"/>
            <w:textInput>
              <w:default w:val="Court"/>
            </w:textInput>
          </w:ffData>
        </w:fldChar>
      </w:r>
      <w:bookmarkStart w:id="20" w:name="My_Court1"/>
      <w:r>
        <w:rPr>
          <w:spacing w:val="-3"/>
        </w:rPr>
        <w:instrText xml:space="preserve"> FORMTEXT </w:instrText>
      </w:r>
      <w:r>
        <w:rPr>
          <w:spacing w:val="-3"/>
        </w:rPr>
      </w:r>
      <w:r>
        <w:rPr>
          <w:spacing w:val="-3"/>
        </w:rPr>
        <w:fldChar w:fldCharType="separate"/>
      </w:r>
      <w:r>
        <w:rPr>
          <w:spacing w:val="-3"/>
        </w:rPr>
        <w:t>Trial Court</w:t>
      </w:r>
      <w:r>
        <w:rPr>
          <w:spacing w:val="-3"/>
        </w:rPr>
        <w:fldChar w:fldCharType="end"/>
      </w:r>
      <w:bookmarkEnd w:id="20"/>
      <w:r>
        <w:rPr>
          <w:spacing w:val="-3"/>
        </w:rPr>
        <w:t xml:space="preserve"> answers, "No".</w:t>
      </w: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r>
        <w:rPr>
          <w:spacing w:val="-3"/>
        </w:rPr>
        <w:t>Defendant-Appellant answers, "Yes".</w:t>
      </w:r>
    </w:p>
    <w:p w:rsidR="008A30B0" w:rsidRDefault="008A30B0" w:rsidP="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bookmarkEnd w:id="19"/>
    <w:p w:rsidR="008A30B0" w:rsidRDefault="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jc w:val="both"/>
        <w:rPr>
          <w:spacing w:val="-3"/>
        </w:rPr>
      </w:pPr>
    </w:p>
    <w:p w:rsidR="008A30B0" w:rsidRDefault="008A3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8A30B0" w:rsidRDefault="008A30B0"/>
    <w:p w:rsidR="008A30B0" w:rsidRDefault="008A30B0" w:rsidP="001B3FFF">
      <w:pPr>
        <w:pStyle w:val="Heading1"/>
        <w:rPr>
          <w:color w:val="000000"/>
          <w:u w:color="000000"/>
        </w:rPr>
      </w:pPr>
    </w:p>
    <w:p w:rsidR="008A30B0" w:rsidRDefault="008A30B0" w:rsidP="001B3FFF">
      <w:pPr>
        <w:pStyle w:val="Heading1"/>
        <w:rPr>
          <w:color w:val="000000"/>
          <w:u w:color="000000"/>
        </w:rPr>
        <w:sectPr w:rsidR="008A30B0" w:rsidSect="008A30B0">
          <w:footerReference w:type="default" r:id="rId10"/>
          <w:pgSz w:w="12240" w:h="15840"/>
          <w:pgMar w:top="1440" w:right="1440" w:bottom="1440" w:left="1440" w:header="720" w:footer="720" w:gutter="0"/>
          <w:pgNumType w:fmt="lowerRoman" w:start="1"/>
          <w:cols w:space="720"/>
        </w:sectPr>
      </w:pPr>
    </w:p>
    <w:p w:rsidR="00E135E6" w:rsidRPr="00CF2377" w:rsidRDefault="008A30B0" w:rsidP="008A30B0">
      <w:pPr>
        <w:pStyle w:val="Heading1"/>
        <w:rPr>
          <w:u w:color="000000"/>
        </w:rPr>
      </w:pPr>
      <w:bookmarkStart w:id="21" w:name="_Toc430594483"/>
      <w:r>
        <w:rPr>
          <w:color w:val="000000"/>
          <w:u w:color="000000"/>
        </w:rPr>
        <w:lastRenderedPageBreak/>
        <w:t>STATEMENT OF FACTS</w:t>
      </w:r>
      <w:bookmarkEnd w:id="21"/>
    </w:p>
    <w:p w:rsidR="00E135E6" w:rsidRPr="00CF2377" w:rsidRDefault="00E135E6" w:rsidP="00E135E6">
      <w:pPr>
        <w:rPr>
          <w:color w:val="000000"/>
          <w:u w:color="000000"/>
        </w:rPr>
      </w:pPr>
    </w:p>
    <w:p w:rsidR="00E135E6" w:rsidRPr="00CF2377" w:rsidRDefault="00E135E6" w:rsidP="008A30B0">
      <w:pPr>
        <w:pStyle w:val="NormalDoubleSpace"/>
        <w:jc w:val="both"/>
        <w:rPr>
          <w:color w:val="000000"/>
          <w:u w:color="000000"/>
        </w:rPr>
      </w:pPr>
      <w:r w:rsidRPr="00CF2377">
        <w:rPr>
          <w:color w:val="000000"/>
          <w:u w:color="000000"/>
        </w:rPr>
        <w:tab/>
        <w:t xml:space="preserve">Defendant-Appellant </w:t>
      </w:r>
      <w:r w:rsidR="003629D0">
        <w:rPr>
          <w:color w:val="000000"/>
          <w:u w:color="000000"/>
        </w:rPr>
        <w:t xml:space="preserve"> </w:t>
      </w:r>
      <w:r w:rsidRPr="00CF2377">
        <w:rPr>
          <w:color w:val="000000"/>
          <w:u w:color="000000"/>
        </w:rPr>
        <w:t xml:space="preserve">pled guilty to armed robbery, </w:t>
      </w:r>
      <w:r w:rsidR="008A30B0">
        <w:rPr>
          <w:color w:val="000000"/>
          <w:u w:color="000000"/>
        </w:rPr>
        <w:fldChar w:fldCharType="begin"/>
      </w:r>
      <w:r w:rsidR="008A30B0">
        <w:instrText xml:space="preserve"> TA \l "</w:instrText>
      </w:r>
      <w:r w:rsidR="008A30B0" w:rsidRPr="008A30B0">
        <w:instrText>MCL 750.529</w:instrText>
      </w:r>
      <w:r w:rsidR="008A30B0">
        <w:instrText xml:space="preserve">" \s "WSFTA_23f8a2eafe9a446180bfbc062762e7f1" \c 6 </w:instrText>
      </w:r>
      <w:r w:rsidR="008A30B0">
        <w:rPr>
          <w:color w:val="000000"/>
          <w:u w:color="000000"/>
        </w:rPr>
        <w:fldChar w:fldCharType="end"/>
      </w:r>
      <w:r w:rsidRPr="00CF2377">
        <w:rPr>
          <w:color w:val="000000"/>
          <w:u w:color="000000"/>
        </w:rPr>
        <w:t xml:space="preserve">MCL 750.529, on November 13, 2014, in the Ingham County Circuit Court.  The Honorable Rosemarie Aquilina sentenced Mr. </w:t>
      </w:r>
      <w:r w:rsidR="003629D0">
        <w:rPr>
          <w:color w:val="000000"/>
          <w:u w:color="000000"/>
        </w:rPr>
        <w:t>Defendant</w:t>
      </w:r>
      <w:r w:rsidRPr="00CF2377">
        <w:rPr>
          <w:color w:val="000000"/>
          <w:u w:color="000000"/>
        </w:rPr>
        <w:t xml:space="preserve"> to a term of 17 to 30 years imprisonment on March 25, 2015.  </w:t>
      </w:r>
      <w:r w:rsidRPr="00CF2377">
        <w:rPr>
          <w:i/>
          <w:color w:val="000000"/>
          <w:u w:color="000000"/>
        </w:rPr>
        <w:t>Judgment of Sentence,</w:t>
      </w:r>
      <w:r w:rsidRPr="00CF2377">
        <w:rPr>
          <w:color w:val="000000"/>
          <w:u w:color="000000"/>
        </w:rPr>
        <w:t xml:space="preserve"> Appendix A.</w:t>
      </w:r>
    </w:p>
    <w:p w:rsidR="00E135E6" w:rsidRPr="00CF2377" w:rsidRDefault="00E135E6" w:rsidP="008A30B0">
      <w:pPr>
        <w:pStyle w:val="NormalDoubleSpace"/>
        <w:jc w:val="both"/>
        <w:rPr>
          <w:i/>
          <w:color w:val="000000"/>
          <w:u w:color="000000"/>
        </w:rPr>
      </w:pPr>
      <w:r w:rsidRPr="00CF2377">
        <w:rPr>
          <w:color w:val="000000"/>
          <w:u w:color="000000"/>
        </w:rPr>
        <w:tab/>
        <w:t xml:space="preserve">Mr. </w:t>
      </w:r>
      <w:r w:rsidR="003629D0">
        <w:rPr>
          <w:color w:val="000000"/>
          <w:u w:color="000000"/>
        </w:rPr>
        <w:t>Defendant</w:t>
      </w:r>
      <w:r w:rsidRPr="00CF2377">
        <w:rPr>
          <w:color w:val="000000"/>
          <w:u w:color="000000"/>
        </w:rPr>
        <w:t xml:space="preserve"> pled guilty as charge, although the prosecutor agreed to reduce the habitual offender enhancement from fourth to third offense.  (11/13/14 T 4)  The parties were aware that with enhancement as a fourth habitual offender, Mr. </w:t>
      </w:r>
      <w:r w:rsidR="003629D0">
        <w:rPr>
          <w:color w:val="000000"/>
          <w:u w:color="000000"/>
        </w:rPr>
        <w:t>Defendant</w:t>
      </w:r>
      <w:r w:rsidRPr="00CF2377">
        <w:rPr>
          <w:color w:val="000000"/>
          <w:u w:color="000000"/>
        </w:rPr>
        <w:t xml:space="preserve"> would have faced a mandatory minimum term of 25 years imprisonment.  </w:t>
      </w:r>
      <w:r w:rsidRPr="00CF2377">
        <w:rPr>
          <w:i/>
          <w:color w:val="000000"/>
          <w:u w:color="000000"/>
        </w:rPr>
        <w:t>Id.</w:t>
      </w:r>
    </w:p>
    <w:p w:rsidR="00435B96" w:rsidRPr="00CF2377" w:rsidRDefault="00E135E6" w:rsidP="008A30B0">
      <w:pPr>
        <w:pStyle w:val="NormalDoubleSpace"/>
        <w:jc w:val="both"/>
        <w:rPr>
          <w:color w:val="000000"/>
          <w:u w:color="000000"/>
        </w:rPr>
      </w:pPr>
      <w:r w:rsidRPr="00CF2377">
        <w:rPr>
          <w:i/>
          <w:color w:val="000000"/>
          <w:u w:color="000000"/>
        </w:rPr>
        <w:tab/>
      </w:r>
      <w:r w:rsidRPr="00CF2377">
        <w:rPr>
          <w:color w:val="000000"/>
          <w:u w:color="000000"/>
        </w:rPr>
        <w:t xml:space="preserve">In support of the guilty plea, Mr. </w:t>
      </w:r>
      <w:r w:rsidR="003629D0">
        <w:rPr>
          <w:color w:val="000000"/>
          <w:u w:color="000000"/>
        </w:rPr>
        <w:t>Defendant</w:t>
      </w:r>
      <w:r w:rsidRPr="00CF2377">
        <w:rPr>
          <w:color w:val="000000"/>
          <w:u w:color="000000"/>
        </w:rPr>
        <w:t xml:space="preserve"> admitted robbing a Speedway station attendant while simulating a gun with his hand in his pocket. (11/13/14 T 18).  Mr. </w:t>
      </w:r>
      <w:r w:rsidR="003629D0">
        <w:rPr>
          <w:color w:val="000000"/>
          <w:u w:color="000000"/>
        </w:rPr>
        <w:t>Defendant</w:t>
      </w:r>
      <w:r w:rsidRPr="00CF2377">
        <w:rPr>
          <w:color w:val="000000"/>
          <w:u w:color="000000"/>
        </w:rPr>
        <w:t xml:space="preserve"> believed he received $80, but the station manager requested $177 in restitution.  (11/13/14 T 19; PSI</w:t>
      </w:r>
      <w:r w:rsidRPr="00CF2377">
        <w:rPr>
          <w:rStyle w:val="FootnoteReference"/>
          <w:color w:val="000000"/>
          <w:u w:color="000000"/>
        </w:rPr>
        <w:footnoteReference w:id="1"/>
      </w:r>
      <w:r w:rsidRPr="00CF2377">
        <w:rPr>
          <w:color w:val="000000"/>
          <w:u w:color="000000"/>
        </w:rPr>
        <w:t xml:space="preserve"> 2)</w:t>
      </w:r>
      <w:r w:rsidR="00435B96" w:rsidRPr="00CF2377">
        <w:rPr>
          <w:color w:val="000000"/>
          <w:u w:color="000000"/>
        </w:rPr>
        <w:t xml:space="preserve">  </w:t>
      </w:r>
    </w:p>
    <w:p w:rsidR="00305049" w:rsidRPr="00CF2377" w:rsidRDefault="00435B96" w:rsidP="008A30B0">
      <w:pPr>
        <w:pStyle w:val="NormalDoubleSpace"/>
        <w:jc w:val="both"/>
        <w:rPr>
          <w:color w:val="000000"/>
          <w:u w:color="000000"/>
        </w:rPr>
      </w:pPr>
      <w:r w:rsidRPr="00CF2377">
        <w:rPr>
          <w:color w:val="000000"/>
          <w:u w:color="000000"/>
        </w:rPr>
        <w:tab/>
      </w:r>
      <w:r w:rsidR="00E135E6" w:rsidRPr="00CF2377">
        <w:rPr>
          <w:color w:val="000000"/>
          <w:u w:color="000000"/>
        </w:rPr>
        <w:t xml:space="preserve">  </w:t>
      </w:r>
      <w:r w:rsidRPr="00CF2377">
        <w:rPr>
          <w:color w:val="000000"/>
          <w:u w:color="000000"/>
        </w:rPr>
        <w:t xml:space="preserve">According to the store </w:t>
      </w:r>
      <w:r w:rsidR="00D641D5" w:rsidRPr="00CF2377">
        <w:rPr>
          <w:color w:val="000000"/>
          <w:u w:color="000000"/>
        </w:rPr>
        <w:t xml:space="preserve">clerk during his preliminary examination testimony, Mr. </w:t>
      </w:r>
      <w:r w:rsidR="003629D0">
        <w:rPr>
          <w:color w:val="000000"/>
          <w:u w:color="000000"/>
        </w:rPr>
        <w:t>Defendant</w:t>
      </w:r>
      <w:r w:rsidR="00D641D5" w:rsidRPr="00CF2377">
        <w:rPr>
          <w:color w:val="000000"/>
          <w:u w:color="000000"/>
        </w:rPr>
        <w:t xml:space="preserve"> entered the store between 3 and 4 a.m. on January 16, 2014.  (7/17/14 T 5, 10)   He did not respond to the clerk’s hello, and walked up behind the counter. (7/17/14 T 6, 11)  He said he wanted the money and raised his hand, as if simulating a weapon, inside his pocket. (7/17/14 T 6, 7)  He said “Give me the money, bitch” and “Don’t be a hero.” (7/17/14 T 15)</w:t>
      </w:r>
      <w:r w:rsidR="00B56484" w:rsidRPr="00CF2377">
        <w:rPr>
          <w:color w:val="000000"/>
          <w:u w:color="000000"/>
        </w:rPr>
        <w:t xml:space="preserve">  He implied a gun with his hand in the pocket, but did not say he had a gun. (7/17/14 T 17).</w:t>
      </w:r>
      <w:r w:rsidR="00D641D5" w:rsidRPr="00CF2377">
        <w:rPr>
          <w:color w:val="000000"/>
          <w:u w:color="000000"/>
        </w:rPr>
        <w:t xml:space="preserve">  The clerk opened the register and gave him all of the money. (7/17/14 T 7)  The clerk never saw a weapon. (7/17/14 T 7)  The man asked for money in a second register, but the clerk explained the register was locked and the clerk could not open it. (7/17/14 T 8)  The man told the clerk to lie on the </w:t>
      </w:r>
      <w:r w:rsidR="00D641D5" w:rsidRPr="00CF2377">
        <w:rPr>
          <w:color w:val="000000"/>
          <w:u w:color="000000"/>
        </w:rPr>
        <w:lastRenderedPageBreak/>
        <w:t>ground and then left. (7/17/14 T 8)  The clerk thought he gave the man approximately $180, although the man dropped $5 on the floor. (7/17/14 T 8, 13)  The entire incident lasted one to two minutes. (7/17/14 T 13-14)</w:t>
      </w:r>
    </w:p>
    <w:p w:rsidR="00305049" w:rsidRPr="00CF2377" w:rsidRDefault="00305049" w:rsidP="00305049">
      <w:pPr>
        <w:rPr>
          <w:color w:val="000000"/>
          <w:u w:color="000000"/>
        </w:rPr>
      </w:pPr>
      <w:r w:rsidRPr="00CF2377">
        <w:rPr>
          <w:color w:val="000000"/>
          <w:u w:color="000000"/>
        </w:rPr>
        <w:br w:type="page"/>
      </w:r>
    </w:p>
    <w:p w:rsidR="00305049" w:rsidRPr="00CF2377" w:rsidRDefault="00C07700" w:rsidP="001B3FFF">
      <w:pPr>
        <w:pStyle w:val="ISSUE"/>
        <w:rPr>
          <w:color w:val="000000"/>
          <w:u w:color="000000"/>
        </w:rPr>
      </w:pPr>
      <w:bookmarkStart w:id="22" w:name="_Toc430592135"/>
      <w:bookmarkStart w:id="23" w:name="_Toc430594484"/>
      <w:r>
        <w:rPr>
          <w:bCs/>
          <w:caps w:val="0"/>
          <w:noProof/>
          <w:color w:val="000000"/>
          <w:u w:color="000000"/>
        </w:rPr>
        <w:lastRenderedPageBreak/>
        <w:t>THE TRIAL COURT IMPOSED</w:t>
      </w:r>
      <w:r w:rsidRPr="008A30B0">
        <w:rPr>
          <w:bCs/>
          <w:caps w:val="0"/>
          <w:noProof/>
          <w:color w:val="000000"/>
          <w:u w:color="000000"/>
        </w:rPr>
        <w:t xml:space="preserve"> AN UNREASONABLE SENTENCE OF 17 TO 25 YEARS IMPRISONMENT FOR THE CRIME OF STEALING LESS THAN $200 WHILE “ARMED” </w:t>
      </w:r>
      <w:r>
        <w:rPr>
          <w:bCs/>
          <w:caps w:val="0"/>
          <w:noProof/>
          <w:color w:val="000000"/>
          <w:u w:color="000000"/>
        </w:rPr>
        <w:t>FOR</w:t>
      </w:r>
      <w:r w:rsidRPr="008A30B0">
        <w:rPr>
          <w:bCs/>
          <w:caps w:val="0"/>
          <w:noProof/>
          <w:color w:val="000000"/>
          <w:u w:color="000000"/>
        </w:rPr>
        <w:t xml:space="preserve"> THIS MIDDLE-AGE HABITUAL OFFENDER </w:t>
      </w:r>
      <w:r>
        <w:rPr>
          <w:bCs/>
          <w:caps w:val="0"/>
          <w:noProof/>
          <w:color w:val="000000"/>
          <w:u w:color="000000"/>
        </w:rPr>
        <w:t>WHO</w:t>
      </w:r>
      <w:r w:rsidRPr="008A30B0">
        <w:rPr>
          <w:bCs/>
          <w:caps w:val="0"/>
          <w:noProof/>
          <w:color w:val="000000"/>
          <w:u w:color="000000"/>
        </w:rPr>
        <w:t xml:space="preserve"> </w:t>
      </w:r>
      <w:r>
        <w:rPr>
          <w:bCs/>
          <w:caps w:val="0"/>
          <w:noProof/>
          <w:color w:val="000000"/>
          <w:u w:color="000000"/>
        </w:rPr>
        <w:t xml:space="preserve"> HAD </w:t>
      </w:r>
      <w:r w:rsidRPr="008A30B0">
        <w:rPr>
          <w:bCs/>
          <w:caps w:val="0"/>
          <w:noProof/>
          <w:color w:val="000000"/>
          <w:u w:color="000000"/>
        </w:rPr>
        <w:t>HIS HAND IN H</w:t>
      </w:r>
      <w:r>
        <w:rPr>
          <w:bCs/>
          <w:caps w:val="0"/>
          <w:noProof/>
          <w:color w:val="000000"/>
          <w:u w:color="000000"/>
        </w:rPr>
        <w:t>IS POCKET WITH NO ACTUAL WEAPON</w:t>
      </w:r>
      <w:r w:rsidR="00BE23E6" w:rsidRPr="00CF2377">
        <w:rPr>
          <w:caps w:val="0"/>
          <w:color w:val="000000"/>
          <w:u w:color="000000"/>
        </w:rPr>
        <w:t>.</w:t>
      </w:r>
      <w:bookmarkEnd w:id="22"/>
      <w:bookmarkEnd w:id="23"/>
    </w:p>
    <w:p w:rsidR="00305049" w:rsidRPr="00CF2377" w:rsidRDefault="00305049" w:rsidP="00305049">
      <w:pPr>
        <w:pStyle w:val="NormalDoubleSpace"/>
        <w:rPr>
          <w:color w:val="000000"/>
          <w:u w:color="000000"/>
        </w:rPr>
      </w:pPr>
    </w:p>
    <w:p w:rsidR="00B433B5" w:rsidRPr="00CF2377" w:rsidRDefault="00B433B5" w:rsidP="008A30B0">
      <w:pPr>
        <w:pStyle w:val="NormalDoubleSpace"/>
        <w:ind w:firstLine="720"/>
        <w:jc w:val="both"/>
        <w:rPr>
          <w:color w:val="000000"/>
          <w:u w:color="000000"/>
        </w:rPr>
      </w:pPr>
      <w:r w:rsidRPr="00CF2377">
        <w:rPr>
          <w:color w:val="000000"/>
          <w:u w:color="000000"/>
        </w:rPr>
        <w:t>The Court should grant leave to appeal to review this especially long sentence for the robbery of store clerk without injury, without a</w:t>
      </w:r>
      <w:r w:rsidR="00F0266D" w:rsidRPr="00CF2377">
        <w:rPr>
          <w:color w:val="000000"/>
          <w:u w:color="000000"/>
        </w:rPr>
        <w:t xml:space="preserve"> </w:t>
      </w:r>
      <w:r w:rsidRPr="00CF2377">
        <w:rPr>
          <w:color w:val="000000"/>
          <w:u w:color="000000"/>
        </w:rPr>
        <w:t xml:space="preserve">weapon and with </w:t>
      </w:r>
      <w:r w:rsidR="004D675B" w:rsidRPr="00CF2377">
        <w:rPr>
          <w:color w:val="000000"/>
          <w:u w:color="000000"/>
        </w:rPr>
        <w:t xml:space="preserve">only </w:t>
      </w:r>
      <w:r w:rsidRPr="00CF2377">
        <w:rPr>
          <w:color w:val="000000"/>
          <w:u w:color="000000"/>
        </w:rPr>
        <w:t>moderate financial loss (</w:t>
      </w:r>
      <w:r w:rsidR="00F0266D" w:rsidRPr="00CF2377">
        <w:rPr>
          <w:color w:val="000000"/>
          <w:u w:color="000000"/>
        </w:rPr>
        <w:t xml:space="preserve">i.e., </w:t>
      </w:r>
      <w:r w:rsidRPr="00CF2377">
        <w:rPr>
          <w:color w:val="000000"/>
          <w:u w:color="000000"/>
        </w:rPr>
        <w:t>less than $200).</w:t>
      </w:r>
    </w:p>
    <w:p w:rsidR="00A00EF7" w:rsidRPr="00CF2377" w:rsidRDefault="00305049" w:rsidP="008A30B0">
      <w:pPr>
        <w:pStyle w:val="NormalDoubleSpace"/>
        <w:ind w:firstLine="720"/>
        <w:jc w:val="both"/>
        <w:rPr>
          <w:color w:val="000000"/>
          <w:u w:color="000000"/>
        </w:rPr>
      </w:pPr>
      <w:r w:rsidRPr="00CF2377">
        <w:rPr>
          <w:color w:val="000000"/>
          <w:u w:color="000000"/>
        </w:rPr>
        <w:t xml:space="preserve">A defendant need not object to the length of </w:t>
      </w:r>
      <w:r w:rsidR="00767B91" w:rsidRPr="00CF2377">
        <w:rPr>
          <w:color w:val="000000"/>
          <w:u w:color="000000"/>
        </w:rPr>
        <w:t>his sentence</w:t>
      </w:r>
      <w:r w:rsidR="00F0266D" w:rsidRPr="00CF2377">
        <w:rPr>
          <w:color w:val="000000"/>
          <w:u w:color="000000"/>
        </w:rPr>
        <w:t xml:space="preserve"> before raising the claim on appeal</w:t>
      </w:r>
      <w:r w:rsidR="00767B91" w:rsidRPr="00CF2377">
        <w:rPr>
          <w:color w:val="000000"/>
          <w:u w:color="000000"/>
        </w:rPr>
        <w:t xml:space="preserve">.  </w:t>
      </w:r>
      <w:r w:rsidR="00A00EF7" w:rsidRPr="00CF2377">
        <w:rPr>
          <w:color w:val="000000"/>
          <w:u w:color="000000"/>
        </w:rPr>
        <w:t xml:space="preserve">See </w:t>
      </w:r>
      <w:r w:rsidR="008A30B0">
        <w:rPr>
          <w:color w:val="000000"/>
          <w:u w:color="000000"/>
        </w:rPr>
        <w:fldChar w:fldCharType="begin"/>
      </w:r>
      <w:r w:rsidR="008A30B0">
        <w:instrText xml:space="preserve"> TA \l "</w:instrText>
      </w:r>
      <w:r w:rsidR="008A30B0" w:rsidRPr="008A30B0">
        <w:rPr>
          <w:i/>
        </w:rPr>
        <w:instrText>People v Smith</w:instrText>
      </w:r>
      <w:r w:rsidR="008A30B0" w:rsidRPr="008A30B0">
        <w:instrText>, 482 Mich 292 (2008)</w:instrText>
      </w:r>
      <w:r w:rsidR="008A30B0">
        <w:instrText xml:space="preserve">" \s "WSFTA_ef6dd4c21a4d46469e15b179c48ef620" \c 3 </w:instrText>
      </w:r>
      <w:r w:rsidR="008A30B0">
        <w:rPr>
          <w:color w:val="000000"/>
          <w:u w:color="000000"/>
        </w:rPr>
        <w:fldChar w:fldCharType="end"/>
      </w:r>
      <w:r w:rsidR="003F3034" w:rsidRPr="00CF2377">
        <w:rPr>
          <w:i/>
          <w:color w:val="000000"/>
          <w:u w:color="000000"/>
        </w:rPr>
        <w:t>People v Smith,</w:t>
      </w:r>
      <w:r w:rsidR="003F3034" w:rsidRPr="00CF2377">
        <w:rPr>
          <w:color w:val="000000"/>
          <w:u w:color="000000"/>
        </w:rPr>
        <w:t xml:space="preserve"> 482 Mich 292, </w:t>
      </w:r>
      <w:r w:rsidR="00A00EF7" w:rsidRPr="00CF2377">
        <w:rPr>
          <w:color w:val="000000"/>
          <w:u w:color="000000"/>
        </w:rPr>
        <w:t xml:space="preserve">300 (2008); </w:t>
      </w:r>
      <w:r w:rsidR="00A00EF7" w:rsidRPr="00CF2377">
        <w:rPr>
          <w:i/>
          <w:color w:val="000000"/>
          <w:u w:color="000000"/>
        </w:rPr>
        <w:t>People v Cain,</w:t>
      </w:r>
      <w:r w:rsidR="00A00EF7" w:rsidRPr="00CF2377">
        <w:rPr>
          <w:color w:val="000000"/>
          <w:u w:color="000000"/>
        </w:rPr>
        <w:t xml:space="preserve"> 238 Mich App</w:t>
      </w:r>
    </w:p>
    <w:p w:rsidR="00305049" w:rsidRPr="00CF2377" w:rsidRDefault="00A00EF7" w:rsidP="008A30B0">
      <w:pPr>
        <w:pStyle w:val="NormalDoubleSpace"/>
        <w:jc w:val="both"/>
        <w:rPr>
          <w:color w:val="000000"/>
          <w:u w:color="000000"/>
        </w:rPr>
      </w:pPr>
      <w:r w:rsidRPr="00CF2377">
        <w:rPr>
          <w:color w:val="000000"/>
          <w:u w:color="000000"/>
        </w:rPr>
        <w:t xml:space="preserve"> 95, 129 (1999).</w:t>
      </w:r>
    </w:p>
    <w:p w:rsidR="003D6100" w:rsidRPr="00CF2377" w:rsidRDefault="003D6100" w:rsidP="008A30B0">
      <w:pPr>
        <w:jc w:val="both"/>
        <w:rPr>
          <w:color w:val="000000"/>
          <w:u w:color="000000"/>
        </w:rPr>
      </w:pPr>
    </w:p>
    <w:p w:rsidR="003D6100" w:rsidRPr="00CF2377" w:rsidRDefault="003D6100" w:rsidP="008A30B0">
      <w:pPr>
        <w:pStyle w:val="NormalDoubleSpace"/>
        <w:jc w:val="both"/>
        <w:rPr>
          <w:b/>
          <w:i/>
          <w:color w:val="000000"/>
          <w:u w:color="000000"/>
        </w:rPr>
      </w:pPr>
      <w:r w:rsidRPr="00CF2377">
        <w:rPr>
          <w:b/>
          <w:i/>
          <w:color w:val="000000"/>
          <w:u w:color="000000"/>
        </w:rPr>
        <w:t>Review for Reasonableness and Proportionality</w:t>
      </w:r>
    </w:p>
    <w:p w:rsidR="003F3034" w:rsidRPr="00CF2377" w:rsidRDefault="00767B91" w:rsidP="008A30B0">
      <w:pPr>
        <w:pStyle w:val="NormalDoubleSpace"/>
        <w:jc w:val="both"/>
        <w:rPr>
          <w:color w:val="000000"/>
          <w:u w:color="000000"/>
        </w:rPr>
      </w:pPr>
      <w:r w:rsidRPr="00CF2377">
        <w:rPr>
          <w:color w:val="000000"/>
          <w:u w:color="000000"/>
        </w:rPr>
        <w:tab/>
        <w:t xml:space="preserve">In </w:t>
      </w:r>
      <w:r w:rsidR="008A30B0">
        <w:rPr>
          <w:color w:val="000000"/>
          <w:u w:color="000000"/>
        </w:rPr>
        <w:fldChar w:fldCharType="begin"/>
      </w:r>
      <w:r w:rsidR="008A30B0">
        <w:instrText xml:space="preserve"> TA \l "" \s "WSFTA_e5efc7922e864c32ba4473813c396b0f" \c 3 </w:instrText>
      </w:r>
      <w:r w:rsidR="008A30B0">
        <w:rPr>
          <w:color w:val="000000"/>
          <w:u w:color="000000"/>
        </w:rPr>
        <w:fldChar w:fldCharType="end"/>
      </w:r>
      <w:r w:rsidRPr="00CF2377">
        <w:rPr>
          <w:i/>
          <w:color w:val="000000"/>
          <w:u w:color="000000"/>
        </w:rPr>
        <w:t>People v Lockridge,</w:t>
      </w:r>
      <w:r w:rsidRPr="00CF2377">
        <w:rPr>
          <w:color w:val="000000"/>
          <w:u w:color="000000"/>
        </w:rPr>
        <w:t xml:space="preserve"> </w:t>
      </w:r>
      <w:r w:rsidR="00C5108A" w:rsidRPr="00CF2377">
        <w:rPr>
          <w:color w:val="000000"/>
          <w:u w:color="000000"/>
        </w:rPr>
        <w:t>___ Mich ___ (Docket 149073, 7/29/15)</w:t>
      </w:r>
      <w:r w:rsidRPr="00CF2377">
        <w:rPr>
          <w:color w:val="000000"/>
          <w:u w:color="000000"/>
        </w:rPr>
        <w:t>, the Michigan Supreme Court</w:t>
      </w:r>
      <w:r w:rsidR="00305049" w:rsidRPr="00CF2377">
        <w:rPr>
          <w:color w:val="000000"/>
          <w:u w:color="000000"/>
        </w:rPr>
        <w:t xml:space="preserve"> spoke of </w:t>
      </w:r>
      <w:r w:rsidR="0046425E" w:rsidRPr="00CF2377">
        <w:rPr>
          <w:color w:val="000000"/>
          <w:u w:color="000000"/>
        </w:rPr>
        <w:t>the trial court’s obligation to “justify” the sentence in order to facilitate appellate review</w:t>
      </w:r>
      <w:r w:rsidR="00A00EF7" w:rsidRPr="00CF2377">
        <w:rPr>
          <w:color w:val="000000"/>
          <w:u w:color="000000"/>
        </w:rPr>
        <w:t xml:space="preserve">. </w:t>
      </w:r>
      <w:r w:rsidR="00305049" w:rsidRPr="00CF2377">
        <w:rPr>
          <w:color w:val="000000"/>
          <w:u w:color="000000"/>
        </w:rPr>
        <w:t xml:space="preserve"> Slip op at 29.  </w:t>
      </w:r>
      <w:r w:rsidR="00A00EF7" w:rsidRPr="00CF2377">
        <w:rPr>
          <w:color w:val="000000"/>
          <w:u w:color="000000"/>
        </w:rPr>
        <w:t>The Court</w:t>
      </w:r>
      <w:r w:rsidR="009B52B7" w:rsidRPr="00CF2377">
        <w:rPr>
          <w:color w:val="000000"/>
          <w:u w:color="000000"/>
        </w:rPr>
        <w:t xml:space="preserve"> set forth</w:t>
      </w:r>
      <w:r w:rsidR="00A00EF7" w:rsidRPr="00CF2377">
        <w:rPr>
          <w:color w:val="000000"/>
          <w:u w:color="000000"/>
        </w:rPr>
        <w:t xml:space="preserve"> a </w:t>
      </w:r>
      <w:r w:rsidR="0046425E" w:rsidRPr="00CF2377">
        <w:rPr>
          <w:color w:val="000000"/>
          <w:u w:color="000000"/>
        </w:rPr>
        <w:t>“reasonableness” standard with reference to sentences falling outside the recommended range</w:t>
      </w:r>
      <w:r w:rsidR="009B52B7" w:rsidRPr="00CF2377">
        <w:rPr>
          <w:color w:val="000000"/>
          <w:u w:color="000000"/>
        </w:rPr>
        <w:t xml:space="preserve">.  </w:t>
      </w:r>
      <w:r w:rsidR="009B52B7" w:rsidRPr="00CF2377">
        <w:rPr>
          <w:i/>
          <w:color w:val="000000"/>
          <w:u w:color="000000"/>
        </w:rPr>
        <w:t xml:space="preserve">Id. </w:t>
      </w:r>
      <w:r w:rsidR="009B52B7" w:rsidRPr="00CF2377">
        <w:rPr>
          <w:color w:val="000000"/>
          <w:u w:color="000000"/>
        </w:rPr>
        <w:t xml:space="preserve"> </w:t>
      </w:r>
      <w:r w:rsidR="00F0266D" w:rsidRPr="00CF2377">
        <w:rPr>
          <w:color w:val="000000"/>
          <w:u w:color="000000"/>
        </w:rPr>
        <w:t>Although the Court was speaking of sentences outside the range, th</w:t>
      </w:r>
      <w:r w:rsidR="009B52B7" w:rsidRPr="00CF2377">
        <w:rPr>
          <w:color w:val="000000"/>
          <w:u w:color="000000"/>
        </w:rPr>
        <w:t>ere</w:t>
      </w:r>
      <w:r w:rsidR="003F3034" w:rsidRPr="00CF2377">
        <w:rPr>
          <w:color w:val="000000"/>
          <w:u w:color="000000"/>
        </w:rPr>
        <w:t xml:space="preserve"> was no qualifier to the Court’s </w:t>
      </w:r>
      <w:r w:rsidR="00F0266D" w:rsidRPr="00CF2377">
        <w:rPr>
          <w:color w:val="000000"/>
          <w:u w:color="000000"/>
        </w:rPr>
        <w:t xml:space="preserve">subsequent </w:t>
      </w:r>
      <w:r w:rsidR="003F3034" w:rsidRPr="00CF2377">
        <w:rPr>
          <w:color w:val="000000"/>
          <w:u w:color="000000"/>
        </w:rPr>
        <w:t>statement</w:t>
      </w:r>
      <w:r w:rsidR="00F211E3" w:rsidRPr="00CF2377">
        <w:rPr>
          <w:color w:val="000000"/>
          <w:u w:color="000000"/>
        </w:rPr>
        <w:t xml:space="preserve"> </w:t>
      </w:r>
      <w:r w:rsidR="0046425E" w:rsidRPr="00CF2377">
        <w:rPr>
          <w:color w:val="000000"/>
          <w:u w:color="000000"/>
        </w:rPr>
        <w:t xml:space="preserve">that “[r]esentencing will be required </w:t>
      </w:r>
      <w:r w:rsidR="00F211E3" w:rsidRPr="00CF2377">
        <w:rPr>
          <w:color w:val="000000"/>
          <w:u w:color="000000"/>
        </w:rPr>
        <w:t xml:space="preserve">when a sentence is determined to be unreasonable.”  </w:t>
      </w:r>
      <w:r w:rsidR="00F211E3" w:rsidRPr="00CF2377">
        <w:rPr>
          <w:i/>
          <w:color w:val="000000"/>
          <w:u w:color="000000"/>
        </w:rPr>
        <w:t>Id.</w:t>
      </w:r>
      <w:r w:rsidR="003F3034" w:rsidRPr="00CF2377">
        <w:rPr>
          <w:i/>
          <w:color w:val="000000"/>
          <w:u w:color="000000"/>
        </w:rPr>
        <w:t xml:space="preserve"> </w:t>
      </w:r>
      <w:r w:rsidR="009B52B7" w:rsidRPr="00CF2377">
        <w:rPr>
          <w:color w:val="000000"/>
          <w:u w:color="000000"/>
        </w:rPr>
        <w:t xml:space="preserve"> </w:t>
      </w:r>
    </w:p>
    <w:p w:rsidR="00767B91" w:rsidRPr="00CF2377" w:rsidRDefault="003F3034" w:rsidP="008A30B0">
      <w:pPr>
        <w:pStyle w:val="NormalDoubleSpace"/>
        <w:jc w:val="both"/>
        <w:rPr>
          <w:color w:val="000000"/>
          <w:u w:color="000000"/>
        </w:rPr>
      </w:pPr>
      <w:r w:rsidRPr="00CF2377">
        <w:rPr>
          <w:i/>
          <w:color w:val="000000"/>
          <w:u w:color="000000"/>
        </w:rPr>
        <w:tab/>
      </w:r>
      <w:r w:rsidRPr="00CF2377">
        <w:rPr>
          <w:color w:val="000000"/>
          <w:u w:color="000000"/>
        </w:rPr>
        <w:t>Review for reasonableness</w:t>
      </w:r>
      <w:r w:rsidR="009B52B7" w:rsidRPr="00CF2377">
        <w:rPr>
          <w:color w:val="000000"/>
          <w:u w:color="000000"/>
        </w:rPr>
        <w:t xml:space="preserve"> -</w:t>
      </w:r>
      <w:r w:rsidRPr="00CF2377">
        <w:rPr>
          <w:color w:val="000000"/>
          <w:u w:color="000000"/>
        </w:rPr>
        <w:t xml:space="preserve"> even of a sentence falling within the sentencing guidelines range</w:t>
      </w:r>
      <w:r w:rsidR="009B52B7" w:rsidRPr="00CF2377">
        <w:rPr>
          <w:color w:val="000000"/>
          <w:u w:color="000000"/>
        </w:rPr>
        <w:t xml:space="preserve"> -</w:t>
      </w:r>
      <w:r w:rsidRPr="00CF2377">
        <w:rPr>
          <w:color w:val="000000"/>
          <w:u w:color="000000"/>
        </w:rPr>
        <w:t xml:space="preserve"> appears consistent with </w:t>
      </w:r>
      <w:r w:rsidR="009B52B7" w:rsidRPr="00CF2377">
        <w:rPr>
          <w:color w:val="000000"/>
          <w:u w:color="000000"/>
        </w:rPr>
        <w:t xml:space="preserve">the standard of review </w:t>
      </w:r>
      <w:r w:rsidRPr="00CF2377">
        <w:rPr>
          <w:color w:val="000000"/>
          <w:u w:color="000000"/>
        </w:rPr>
        <w:t>u</w:t>
      </w:r>
      <w:r w:rsidR="009B52B7" w:rsidRPr="00CF2377">
        <w:rPr>
          <w:color w:val="000000"/>
          <w:u w:color="000000"/>
        </w:rPr>
        <w:t xml:space="preserve">nder </w:t>
      </w:r>
      <w:r w:rsidRPr="00CF2377">
        <w:rPr>
          <w:color w:val="000000"/>
          <w:u w:color="000000"/>
        </w:rPr>
        <w:t xml:space="preserve">the judicial sentencing guidelines.  </w:t>
      </w:r>
      <w:r w:rsidR="0046425E" w:rsidRPr="00CF2377">
        <w:rPr>
          <w:color w:val="000000"/>
          <w:u w:color="000000"/>
        </w:rPr>
        <w:t xml:space="preserve"> </w:t>
      </w:r>
      <w:r w:rsidR="009B52B7" w:rsidRPr="00CF2377">
        <w:rPr>
          <w:color w:val="000000"/>
          <w:u w:color="000000"/>
        </w:rPr>
        <w:t xml:space="preserve">With </w:t>
      </w:r>
      <w:r w:rsidR="00305049" w:rsidRPr="00CF2377">
        <w:rPr>
          <w:color w:val="000000"/>
          <w:u w:color="000000"/>
        </w:rPr>
        <w:t xml:space="preserve">the judicial sentencing guidelines, a sentence falling within the recommended range of accurately scored sentencing guidelines was considered presumptively proportionate, </w:t>
      </w:r>
      <w:r w:rsidR="008A30B0">
        <w:rPr>
          <w:color w:val="000000"/>
          <w:u w:color="000000"/>
        </w:rPr>
        <w:fldChar w:fldCharType="begin"/>
      </w:r>
      <w:r w:rsidR="008A30B0">
        <w:instrText xml:space="preserve"> TA \l "</w:instrText>
      </w:r>
      <w:r w:rsidR="008A30B0" w:rsidRPr="008A30B0">
        <w:rPr>
          <w:i/>
        </w:rPr>
        <w:instrText>People v Broden</w:instrText>
      </w:r>
      <w:r w:rsidR="008A30B0" w:rsidRPr="008A30B0">
        <w:instrText>, 428 Mich 343 (1987)</w:instrText>
      </w:r>
      <w:r w:rsidR="008A30B0">
        <w:instrText xml:space="preserve">" \s "WSFTA_0030d685837542c2b8b8d530eb8207e0" \c 3 </w:instrText>
      </w:r>
      <w:r w:rsidR="008A30B0">
        <w:rPr>
          <w:color w:val="000000"/>
          <w:u w:color="000000"/>
        </w:rPr>
        <w:fldChar w:fldCharType="end"/>
      </w:r>
      <w:r w:rsidR="00305049" w:rsidRPr="00CF2377">
        <w:rPr>
          <w:i/>
          <w:color w:val="000000"/>
          <w:u w:color="000000"/>
        </w:rPr>
        <w:t>People v Broden</w:t>
      </w:r>
      <w:r w:rsidR="00305049" w:rsidRPr="00CF2377">
        <w:rPr>
          <w:color w:val="000000"/>
          <w:u w:color="000000"/>
        </w:rPr>
        <w:t xml:space="preserve">, 428 Mich 343, 354 (1987), although “even a sentence within the sentencing guidelines </w:t>
      </w:r>
      <w:r w:rsidR="00305049" w:rsidRPr="00CF2377">
        <w:rPr>
          <w:color w:val="000000"/>
          <w:u w:color="000000"/>
        </w:rPr>
        <w:lastRenderedPageBreak/>
        <w:t xml:space="preserve">could be an abuse of discretion in unusual circumstances.”  </w:t>
      </w:r>
      <w:r w:rsidR="008A30B0">
        <w:rPr>
          <w:color w:val="000000"/>
          <w:u w:color="000000"/>
        </w:rPr>
        <w:fldChar w:fldCharType="begin"/>
      </w:r>
      <w:r w:rsidR="008A30B0">
        <w:instrText xml:space="preserve"> TA \l "</w:instrText>
      </w:r>
      <w:r w:rsidR="008A30B0" w:rsidRPr="008A30B0">
        <w:rPr>
          <w:i/>
        </w:rPr>
        <w:instrText>People v Milbourn</w:instrText>
      </w:r>
      <w:r w:rsidR="008A30B0" w:rsidRPr="008A30B0">
        <w:instrText>, 435 Mich 630 (1990)</w:instrText>
      </w:r>
      <w:r w:rsidR="008A30B0">
        <w:instrText xml:space="preserve">" \s "WSFTA_2c9b6eebc3b7424d9cc6f93cfcc7cd63" \c 3 </w:instrText>
      </w:r>
      <w:r w:rsidR="008A30B0">
        <w:rPr>
          <w:color w:val="000000"/>
          <w:u w:color="000000"/>
        </w:rPr>
        <w:fldChar w:fldCharType="end"/>
      </w:r>
      <w:r w:rsidR="00305049" w:rsidRPr="00CF2377">
        <w:rPr>
          <w:i/>
          <w:color w:val="000000"/>
          <w:u w:color="000000"/>
        </w:rPr>
        <w:t>People v Milbourn,</w:t>
      </w:r>
      <w:r w:rsidR="00305049" w:rsidRPr="00CF2377">
        <w:rPr>
          <w:color w:val="000000"/>
          <w:u w:color="000000"/>
        </w:rPr>
        <w:t xml:space="preserve"> 435 Mich 630, 661 (1990).</w:t>
      </w:r>
      <w:r w:rsidR="009B52B7" w:rsidRPr="00CF2377">
        <w:rPr>
          <w:color w:val="000000"/>
          <w:u w:color="000000"/>
        </w:rPr>
        <w:t xml:space="preserve"> </w:t>
      </w:r>
    </w:p>
    <w:p w:rsidR="00C27329" w:rsidRPr="00CF2377" w:rsidRDefault="00C27329" w:rsidP="008A30B0">
      <w:pPr>
        <w:pStyle w:val="NormalDoubleSpace"/>
        <w:jc w:val="both"/>
        <w:rPr>
          <w:color w:val="000000"/>
          <w:u w:color="000000"/>
        </w:rPr>
      </w:pPr>
      <w:r w:rsidRPr="00CF2377">
        <w:rPr>
          <w:color w:val="000000"/>
          <w:u w:color="000000"/>
        </w:rPr>
        <w:tab/>
        <w:t xml:space="preserve">Reasonableness is the standard for review for federal sentences, whether the sentence falls within the sentencing guidelines range or outside the range. </w:t>
      </w:r>
      <w:r w:rsidR="008A30B0">
        <w:rPr>
          <w:color w:val="000000"/>
          <w:u w:color="000000"/>
        </w:rPr>
        <w:fldChar w:fldCharType="begin"/>
      </w:r>
      <w:r w:rsidR="008A30B0">
        <w:instrText xml:space="preserve"> TA \l "</w:instrText>
      </w:r>
      <w:r w:rsidR="008A30B0" w:rsidRPr="008A30B0">
        <w:rPr>
          <w:i/>
        </w:rPr>
        <w:instrText>United States v Booker</w:instrText>
      </w:r>
      <w:r w:rsidR="008A30B0" w:rsidRPr="008A30B0">
        <w:instrText>, 543 US 220 (2005)</w:instrText>
      </w:r>
      <w:r w:rsidR="008A30B0">
        <w:instrText xml:space="preserve">" \s "WSFTA_f738392ad1734d76b76e1c205a392b38" \c 3 </w:instrText>
      </w:r>
      <w:r w:rsidR="008A30B0">
        <w:rPr>
          <w:color w:val="000000"/>
          <w:u w:color="000000"/>
        </w:rPr>
        <w:fldChar w:fldCharType="end"/>
      </w:r>
      <w:r w:rsidRPr="00CF2377">
        <w:rPr>
          <w:i/>
          <w:color w:val="000000"/>
          <w:u w:color="000000"/>
        </w:rPr>
        <w:t>United States v Booker</w:t>
      </w:r>
      <w:r w:rsidRPr="00CF2377">
        <w:rPr>
          <w:color w:val="000000"/>
          <w:u w:color="000000"/>
        </w:rPr>
        <w:t>, 543 US 220, 261-263 (2005).</w:t>
      </w:r>
    </w:p>
    <w:p w:rsidR="009B52B7" w:rsidRPr="00CF2377" w:rsidRDefault="009B52B7" w:rsidP="008A30B0">
      <w:pPr>
        <w:pStyle w:val="NormalDoubleSpace"/>
        <w:jc w:val="both"/>
        <w:rPr>
          <w:color w:val="000000"/>
          <w:u w:color="000000"/>
        </w:rPr>
      </w:pPr>
      <w:r w:rsidRPr="00CF2377">
        <w:rPr>
          <w:color w:val="000000"/>
          <w:u w:color="000000"/>
        </w:rPr>
        <w:tab/>
        <w:t>The reasonableness standard is new</w:t>
      </w:r>
      <w:r w:rsidR="00F0266D" w:rsidRPr="00CF2377">
        <w:rPr>
          <w:color w:val="000000"/>
          <w:u w:color="000000"/>
        </w:rPr>
        <w:t>, at least</w:t>
      </w:r>
      <w:r w:rsidRPr="00CF2377">
        <w:rPr>
          <w:color w:val="000000"/>
          <w:u w:color="000000"/>
        </w:rPr>
        <w:t xml:space="preserve"> to Michigan sentencing law.  In the past, </w:t>
      </w:r>
      <w:r w:rsidR="009A3BC8" w:rsidRPr="00CF2377">
        <w:rPr>
          <w:color w:val="000000"/>
          <w:u w:color="000000"/>
        </w:rPr>
        <w:t xml:space="preserve">appellate review of </w:t>
      </w:r>
      <w:r w:rsidR="00187083" w:rsidRPr="00CF2377">
        <w:rPr>
          <w:color w:val="000000"/>
          <w:u w:color="000000"/>
        </w:rPr>
        <w:t xml:space="preserve">a </w:t>
      </w:r>
      <w:r w:rsidR="009A3BC8" w:rsidRPr="00CF2377">
        <w:rPr>
          <w:color w:val="000000"/>
          <w:u w:color="000000"/>
        </w:rPr>
        <w:t xml:space="preserve">sentence focused </w:t>
      </w:r>
      <w:r w:rsidR="003D6100" w:rsidRPr="00CF2377">
        <w:rPr>
          <w:color w:val="000000"/>
          <w:u w:color="000000"/>
        </w:rPr>
        <w:t xml:space="preserve">on </w:t>
      </w:r>
      <w:r w:rsidR="00187083" w:rsidRPr="00CF2377">
        <w:rPr>
          <w:color w:val="000000"/>
          <w:u w:color="000000"/>
        </w:rPr>
        <w:t>the</w:t>
      </w:r>
      <w:r w:rsidR="003D6100" w:rsidRPr="00CF2377">
        <w:rPr>
          <w:color w:val="000000"/>
          <w:u w:color="000000"/>
        </w:rPr>
        <w:t xml:space="preserve"> abuse of discretion standard that </w:t>
      </w:r>
      <w:r w:rsidR="009A3BC8" w:rsidRPr="00CF2377">
        <w:rPr>
          <w:color w:val="000000"/>
          <w:u w:color="000000"/>
        </w:rPr>
        <w:t xml:space="preserve">initially </w:t>
      </w:r>
      <w:r w:rsidR="003D6100" w:rsidRPr="00CF2377">
        <w:rPr>
          <w:color w:val="000000"/>
          <w:u w:color="000000"/>
        </w:rPr>
        <w:t>looked to whether the sentence</w:t>
      </w:r>
      <w:r w:rsidRPr="00CF2377">
        <w:rPr>
          <w:color w:val="000000"/>
          <w:u w:color="000000"/>
        </w:rPr>
        <w:t xml:space="preserve"> “shocks the conscience</w:t>
      </w:r>
      <w:r w:rsidR="003D6100" w:rsidRPr="00CF2377">
        <w:rPr>
          <w:color w:val="000000"/>
          <w:u w:color="000000"/>
        </w:rPr>
        <w:t xml:space="preserve">” of the court. </w:t>
      </w:r>
      <w:r w:rsidRPr="00CF2377">
        <w:rPr>
          <w:color w:val="000000"/>
          <w:u w:color="000000"/>
        </w:rPr>
        <w:t xml:space="preserve"> </w:t>
      </w:r>
      <w:r w:rsidR="008A30B0">
        <w:rPr>
          <w:color w:val="000000"/>
          <w:u w:color="000000"/>
        </w:rPr>
        <w:fldChar w:fldCharType="begin"/>
      </w:r>
      <w:r w:rsidR="008A30B0">
        <w:instrText xml:space="preserve"> TA \l "</w:instrText>
      </w:r>
      <w:r w:rsidR="008A30B0" w:rsidRPr="008A30B0">
        <w:rPr>
          <w:i/>
        </w:rPr>
        <w:instrText>People v Coles</w:instrText>
      </w:r>
      <w:r w:rsidR="008A30B0" w:rsidRPr="008A30B0">
        <w:instrText>, 417 Mich 523 (1983)</w:instrText>
      </w:r>
      <w:r w:rsidR="008A30B0">
        <w:instrText xml:space="preserve">" \s "WSFTA_2f3f882110d44a9bb39059c2f2b0b77b" \c 3 </w:instrText>
      </w:r>
      <w:r w:rsidR="008A30B0">
        <w:rPr>
          <w:color w:val="000000"/>
          <w:u w:color="000000"/>
        </w:rPr>
        <w:fldChar w:fldCharType="end"/>
      </w:r>
      <w:r w:rsidRPr="00CF2377">
        <w:rPr>
          <w:i/>
          <w:color w:val="000000"/>
          <w:u w:color="000000"/>
        </w:rPr>
        <w:t>People v Coles</w:t>
      </w:r>
      <w:r w:rsidRPr="00CF2377">
        <w:rPr>
          <w:color w:val="000000"/>
          <w:u w:color="000000"/>
        </w:rPr>
        <w:t xml:space="preserve">, </w:t>
      </w:r>
      <w:r w:rsidR="009A3BC8" w:rsidRPr="00CF2377">
        <w:rPr>
          <w:color w:val="000000"/>
          <w:u w:color="000000"/>
        </w:rPr>
        <w:t>417 Mich 523, 550 (1983)</w:t>
      </w:r>
      <w:r w:rsidR="003D6100" w:rsidRPr="00CF2377">
        <w:rPr>
          <w:color w:val="000000"/>
          <w:u w:color="000000"/>
        </w:rPr>
        <w:t xml:space="preserve">.  This standard gave away to </w:t>
      </w:r>
      <w:r w:rsidR="00F0266D" w:rsidRPr="00CF2377">
        <w:rPr>
          <w:color w:val="000000"/>
          <w:u w:color="000000"/>
        </w:rPr>
        <w:t>an</w:t>
      </w:r>
      <w:r w:rsidR="003D6100" w:rsidRPr="00CF2377">
        <w:rPr>
          <w:color w:val="000000"/>
          <w:u w:color="000000"/>
        </w:rPr>
        <w:t xml:space="preserve"> abuse of discretion standard that focused on the </w:t>
      </w:r>
      <w:r w:rsidR="00F0266D" w:rsidRPr="00CF2377">
        <w:rPr>
          <w:color w:val="000000"/>
          <w:u w:color="000000"/>
        </w:rPr>
        <w:t>“</w:t>
      </w:r>
      <w:r w:rsidR="003D6100" w:rsidRPr="00CF2377">
        <w:rPr>
          <w:color w:val="000000"/>
          <w:u w:color="000000"/>
        </w:rPr>
        <w:t>proportionality</w:t>
      </w:r>
      <w:r w:rsidR="00F0266D" w:rsidRPr="00CF2377">
        <w:rPr>
          <w:color w:val="000000"/>
          <w:u w:color="000000"/>
        </w:rPr>
        <w:t>”</w:t>
      </w:r>
      <w:r w:rsidR="003D6100" w:rsidRPr="00CF2377">
        <w:rPr>
          <w:color w:val="000000"/>
          <w:u w:color="000000"/>
        </w:rPr>
        <w:t xml:space="preserve"> of the sentence. </w:t>
      </w:r>
      <w:r w:rsidRPr="00CF2377">
        <w:rPr>
          <w:color w:val="000000"/>
          <w:u w:color="000000"/>
        </w:rPr>
        <w:t xml:space="preserve"> </w:t>
      </w:r>
      <w:r w:rsidRPr="00CF2377">
        <w:rPr>
          <w:i/>
          <w:color w:val="000000"/>
          <w:u w:color="000000"/>
        </w:rPr>
        <w:t>Milbourn</w:t>
      </w:r>
      <w:r w:rsidR="009A3BC8" w:rsidRPr="00CF2377">
        <w:rPr>
          <w:color w:val="000000"/>
          <w:u w:color="000000"/>
        </w:rPr>
        <w:t>.  With the advent of the legislative (</w:t>
      </w:r>
      <w:r w:rsidR="00052F2B" w:rsidRPr="00CF2377">
        <w:rPr>
          <w:color w:val="000000"/>
          <w:u w:color="000000"/>
        </w:rPr>
        <w:t>originally</w:t>
      </w:r>
      <w:r w:rsidR="009A3BC8" w:rsidRPr="00CF2377">
        <w:rPr>
          <w:color w:val="000000"/>
          <w:u w:color="000000"/>
        </w:rPr>
        <w:t xml:space="preserve"> mandatory) sentencing guidelines, appellate review</w:t>
      </w:r>
      <w:r w:rsidR="003D6100" w:rsidRPr="00CF2377">
        <w:rPr>
          <w:color w:val="000000"/>
          <w:u w:color="000000"/>
        </w:rPr>
        <w:t xml:space="preserve"> for an abuse of discretion </w:t>
      </w:r>
      <w:r w:rsidR="009A3BC8" w:rsidRPr="00CF2377">
        <w:rPr>
          <w:color w:val="000000"/>
          <w:u w:color="000000"/>
        </w:rPr>
        <w:t>focused</w:t>
      </w:r>
      <w:r w:rsidR="00187083" w:rsidRPr="00CF2377">
        <w:rPr>
          <w:color w:val="000000"/>
          <w:u w:color="000000"/>
        </w:rPr>
        <w:t xml:space="preserve"> </w:t>
      </w:r>
      <w:r w:rsidR="009A3BC8" w:rsidRPr="00CF2377">
        <w:rPr>
          <w:color w:val="000000"/>
          <w:u w:color="000000"/>
        </w:rPr>
        <w:t xml:space="preserve">on whether the sentence, if it fell outside the </w:t>
      </w:r>
      <w:r w:rsidR="00052F2B" w:rsidRPr="00CF2377">
        <w:rPr>
          <w:color w:val="000000"/>
          <w:u w:color="000000"/>
        </w:rPr>
        <w:t>recommended</w:t>
      </w:r>
      <w:r w:rsidR="009A3BC8" w:rsidRPr="00CF2377">
        <w:rPr>
          <w:color w:val="000000"/>
          <w:u w:color="000000"/>
        </w:rPr>
        <w:t xml:space="preserve"> range, reflected a sentence within a “principled range of outcomes.”  </w:t>
      </w:r>
      <w:r w:rsidR="008A30B0">
        <w:rPr>
          <w:color w:val="000000"/>
          <w:u w:color="000000"/>
        </w:rPr>
        <w:fldChar w:fldCharType="begin"/>
      </w:r>
      <w:r w:rsidR="008A30B0">
        <w:instrText xml:space="preserve"> TA \l "</w:instrText>
      </w:r>
      <w:r w:rsidR="008A30B0" w:rsidRPr="008A30B0">
        <w:rPr>
          <w:i/>
        </w:rPr>
        <w:instrText>People v Babcock</w:instrText>
      </w:r>
      <w:r w:rsidR="008A30B0" w:rsidRPr="008A30B0">
        <w:instrText>, 469 Mich 247 (2003)</w:instrText>
      </w:r>
      <w:r w:rsidR="008A30B0">
        <w:instrText xml:space="preserve">" \s "WSFTA_94766e8604da4dfcad29f90d7ae1fe14" \c 3 </w:instrText>
      </w:r>
      <w:r w:rsidR="008A30B0">
        <w:rPr>
          <w:color w:val="000000"/>
          <w:u w:color="000000"/>
        </w:rPr>
        <w:fldChar w:fldCharType="end"/>
      </w:r>
      <w:r w:rsidR="009A3BC8" w:rsidRPr="00CF2377">
        <w:rPr>
          <w:i/>
          <w:color w:val="000000"/>
          <w:u w:color="000000"/>
        </w:rPr>
        <w:t>People v Babcock,</w:t>
      </w:r>
      <w:r w:rsidR="009A3BC8" w:rsidRPr="00CF2377">
        <w:rPr>
          <w:color w:val="000000"/>
          <w:u w:color="000000"/>
        </w:rPr>
        <w:t xml:space="preserve"> 469 Mich 247, 269 (2003).</w:t>
      </w:r>
    </w:p>
    <w:p w:rsidR="00042390" w:rsidRPr="00CF2377" w:rsidRDefault="009A3BC8" w:rsidP="008A30B0">
      <w:pPr>
        <w:pStyle w:val="NormalDoubleSpace"/>
        <w:jc w:val="both"/>
        <w:rPr>
          <w:color w:val="000000"/>
          <w:u w:color="000000"/>
        </w:rPr>
      </w:pPr>
      <w:r w:rsidRPr="00CF2377">
        <w:rPr>
          <w:color w:val="000000"/>
          <w:u w:color="000000"/>
        </w:rPr>
        <w:tab/>
      </w:r>
      <w:r w:rsidR="00F0266D" w:rsidRPr="00CF2377">
        <w:rPr>
          <w:color w:val="000000"/>
          <w:u w:color="000000"/>
        </w:rPr>
        <w:t>It would appear the</w:t>
      </w:r>
      <w:r w:rsidRPr="00CF2377">
        <w:rPr>
          <w:color w:val="000000"/>
          <w:u w:color="000000"/>
        </w:rPr>
        <w:t xml:space="preserve"> proportionality standard best </w:t>
      </w:r>
      <w:r w:rsidR="00052F2B" w:rsidRPr="00CF2377">
        <w:rPr>
          <w:color w:val="000000"/>
          <w:u w:color="000000"/>
        </w:rPr>
        <w:t xml:space="preserve">reflects </w:t>
      </w:r>
      <w:r w:rsidR="003D6100" w:rsidRPr="00CF2377">
        <w:rPr>
          <w:color w:val="000000"/>
          <w:u w:color="000000"/>
        </w:rPr>
        <w:t xml:space="preserve">the abuse of discretion standard </w:t>
      </w:r>
      <w:r w:rsidR="00187083" w:rsidRPr="00CF2377">
        <w:rPr>
          <w:color w:val="000000"/>
          <w:u w:color="000000"/>
        </w:rPr>
        <w:t xml:space="preserve">that should apply </w:t>
      </w:r>
      <w:r w:rsidR="003D6100" w:rsidRPr="00CF2377">
        <w:rPr>
          <w:color w:val="000000"/>
          <w:u w:color="000000"/>
        </w:rPr>
        <w:t>under the new “</w:t>
      </w:r>
      <w:r w:rsidR="00052F2B" w:rsidRPr="00CF2377">
        <w:rPr>
          <w:color w:val="000000"/>
          <w:u w:color="000000"/>
        </w:rPr>
        <w:t>reasonableness</w:t>
      </w:r>
      <w:r w:rsidR="003D6100" w:rsidRPr="00CF2377">
        <w:rPr>
          <w:color w:val="000000"/>
          <w:u w:color="000000"/>
        </w:rPr>
        <w:t xml:space="preserve">” test </w:t>
      </w:r>
      <w:r w:rsidR="00F0266D" w:rsidRPr="00CF2377">
        <w:rPr>
          <w:color w:val="000000"/>
          <w:u w:color="000000"/>
        </w:rPr>
        <w:t>for</w:t>
      </w:r>
      <w:r w:rsidR="003D6100" w:rsidRPr="00CF2377">
        <w:rPr>
          <w:color w:val="000000"/>
          <w:u w:color="000000"/>
        </w:rPr>
        <w:t xml:space="preserve"> </w:t>
      </w:r>
      <w:r w:rsidR="00506681" w:rsidRPr="00CF2377">
        <w:rPr>
          <w:color w:val="000000"/>
          <w:u w:color="000000"/>
        </w:rPr>
        <w:t xml:space="preserve">sentences under the </w:t>
      </w:r>
      <w:r w:rsidRPr="00CF2377">
        <w:rPr>
          <w:color w:val="000000"/>
          <w:u w:color="000000"/>
        </w:rPr>
        <w:t>now-advisory sentencing guidelines</w:t>
      </w:r>
      <w:r w:rsidR="003D6100" w:rsidRPr="00CF2377">
        <w:rPr>
          <w:color w:val="000000"/>
          <w:u w:color="000000"/>
        </w:rPr>
        <w:t>.  The</w:t>
      </w:r>
      <w:r w:rsidRPr="00CF2377">
        <w:rPr>
          <w:color w:val="000000"/>
          <w:u w:color="000000"/>
        </w:rPr>
        <w:t xml:space="preserve"> proportionality standard was the most recent </w:t>
      </w:r>
      <w:r w:rsidR="003D6100" w:rsidRPr="00CF2377">
        <w:rPr>
          <w:color w:val="000000"/>
          <w:u w:color="000000"/>
        </w:rPr>
        <w:t>articulation of the abuse of discretion s</w:t>
      </w:r>
      <w:r w:rsidRPr="00CF2377">
        <w:rPr>
          <w:color w:val="000000"/>
          <w:u w:color="000000"/>
        </w:rPr>
        <w:t xml:space="preserve">tandard </w:t>
      </w:r>
      <w:r w:rsidR="003D6100" w:rsidRPr="00CF2377">
        <w:rPr>
          <w:color w:val="000000"/>
          <w:u w:color="000000"/>
        </w:rPr>
        <w:t xml:space="preserve">using </w:t>
      </w:r>
      <w:r w:rsidRPr="00CF2377">
        <w:rPr>
          <w:color w:val="000000"/>
          <w:u w:color="000000"/>
        </w:rPr>
        <w:t>advisory sentencing guidelines in Michigan.</w:t>
      </w:r>
      <w:r w:rsidR="003D6100" w:rsidRPr="00CF2377">
        <w:rPr>
          <w:color w:val="000000"/>
          <w:u w:color="000000"/>
        </w:rPr>
        <w:t xml:space="preserve">  </w:t>
      </w:r>
      <w:r w:rsidR="003D6100" w:rsidRPr="00CF2377">
        <w:rPr>
          <w:i/>
          <w:color w:val="000000"/>
          <w:u w:color="000000"/>
        </w:rPr>
        <w:t>Milbourn.</w:t>
      </w:r>
      <w:r w:rsidRPr="00CF2377">
        <w:rPr>
          <w:color w:val="000000"/>
          <w:u w:color="000000"/>
        </w:rPr>
        <w:t xml:space="preserve">  </w:t>
      </w:r>
      <w:r w:rsidR="003D6100" w:rsidRPr="00CF2377">
        <w:rPr>
          <w:color w:val="000000"/>
          <w:u w:color="000000"/>
        </w:rPr>
        <w:t>Moreover,</w:t>
      </w:r>
      <w:r w:rsidRPr="00CF2377">
        <w:rPr>
          <w:color w:val="000000"/>
          <w:u w:color="000000"/>
        </w:rPr>
        <w:t xml:space="preserve"> the proportionality standard </w:t>
      </w:r>
      <w:r w:rsidR="00042390" w:rsidRPr="00CF2377">
        <w:rPr>
          <w:color w:val="000000"/>
          <w:u w:color="000000"/>
        </w:rPr>
        <w:t xml:space="preserve">was designed to </w:t>
      </w:r>
      <w:r w:rsidR="003D6100" w:rsidRPr="00CF2377">
        <w:rPr>
          <w:color w:val="000000"/>
          <w:u w:color="000000"/>
        </w:rPr>
        <w:t>curb</w:t>
      </w:r>
      <w:r w:rsidR="00042390" w:rsidRPr="00CF2377">
        <w:rPr>
          <w:color w:val="000000"/>
          <w:u w:color="000000"/>
        </w:rPr>
        <w:t xml:space="preserve"> unjustified disparity in sentencing.  </w:t>
      </w:r>
      <w:r w:rsidR="008A30B0">
        <w:rPr>
          <w:color w:val="000000"/>
          <w:u w:color="000000"/>
        </w:rPr>
        <w:fldChar w:fldCharType="begin"/>
      </w:r>
      <w:r w:rsidR="008A30B0">
        <w:instrText xml:space="preserve"> TA \l "" \s "WSFTA_2c9b6eebc3b7424d9cc6f93cfcc7cd63" \c 3 </w:instrText>
      </w:r>
      <w:r w:rsidR="008A30B0">
        <w:rPr>
          <w:color w:val="000000"/>
          <w:u w:color="000000"/>
        </w:rPr>
        <w:fldChar w:fldCharType="end"/>
      </w:r>
      <w:r w:rsidR="00042390" w:rsidRPr="00CF2377">
        <w:rPr>
          <w:i/>
          <w:color w:val="000000"/>
          <w:u w:color="000000"/>
        </w:rPr>
        <w:t xml:space="preserve">Milbourn </w:t>
      </w:r>
      <w:r w:rsidR="00042390" w:rsidRPr="00CF2377">
        <w:rPr>
          <w:color w:val="000000"/>
          <w:u w:color="000000"/>
        </w:rPr>
        <w:t xml:space="preserve">at 636.  In </w:t>
      </w:r>
      <w:r w:rsidR="00042390" w:rsidRPr="00CF2377">
        <w:rPr>
          <w:i/>
          <w:color w:val="000000"/>
          <w:u w:color="000000"/>
        </w:rPr>
        <w:t>Lockridge,</w:t>
      </w:r>
      <w:r w:rsidR="00042390" w:rsidRPr="00CF2377">
        <w:rPr>
          <w:color w:val="000000"/>
          <w:u w:color="000000"/>
        </w:rPr>
        <w:t xml:space="preserve"> the Supreme Court adopted a remedy of advisory sentencing guidelines</w:t>
      </w:r>
      <w:r w:rsidR="003D6100" w:rsidRPr="00CF2377">
        <w:rPr>
          <w:color w:val="000000"/>
          <w:u w:color="000000"/>
        </w:rPr>
        <w:t xml:space="preserve"> </w:t>
      </w:r>
      <w:r w:rsidR="00042390" w:rsidRPr="00CF2377">
        <w:rPr>
          <w:color w:val="000000"/>
          <w:u w:color="000000"/>
        </w:rPr>
        <w:t>because</w:t>
      </w:r>
      <w:r w:rsidR="003D6100" w:rsidRPr="00CF2377">
        <w:rPr>
          <w:color w:val="000000"/>
          <w:u w:color="000000"/>
        </w:rPr>
        <w:t xml:space="preserve"> this remedy</w:t>
      </w:r>
      <w:r w:rsidR="00042390" w:rsidRPr="00CF2377">
        <w:rPr>
          <w:color w:val="000000"/>
          <w:u w:color="000000"/>
        </w:rPr>
        <w:t xml:space="preserve"> “’continue[s] to  move sentencing in [the legislature’s] preferred direction, helping to avoid excessive sentencing disparities while maintaining flexibility sufficient to individualize sentences where necessary.’”  </w:t>
      </w:r>
      <w:r w:rsidR="00042390" w:rsidRPr="00CF2377">
        <w:rPr>
          <w:i/>
          <w:color w:val="000000"/>
          <w:u w:color="000000"/>
        </w:rPr>
        <w:t>Lockridge</w:t>
      </w:r>
      <w:r w:rsidR="00042390" w:rsidRPr="00CF2377">
        <w:rPr>
          <w:color w:val="000000"/>
          <w:u w:color="000000"/>
        </w:rPr>
        <w:t xml:space="preserve"> at </w:t>
      </w:r>
      <w:r w:rsidR="00C27329" w:rsidRPr="00CF2377">
        <w:rPr>
          <w:color w:val="000000"/>
          <w:u w:color="000000"/>
        </w:rPr>
        <w:t>28-29</w:t>
      </w:r>
      <w:r w:rsidR="00042390" w:rsidRPr="00CF2377">
        <w:rPr>
          <w:color w:val="000000"/>
          <w:u w:color="000000"/>
        </w:rPr>
        <w:t xml:space="preserve">, quoting </w:t>
      </w:r>
      <w:r w:rsidR="008A30B0">
        <w:rPr>
          <w:color w:val="000000"/>
          <w:u w:color="000000"/>
        </w:rPr>
        <w:fldChar w:fldCharType="begin"/>
      </w:r>
      <w:r w:rsidR="008A30B0">
        <w:instrText xml:space="preserve"> TA \l "" \s "WSFTA_f738392ad1734d76b76e1c205a392b38" \c 3 </w:instrText>
      </w:r>
      <w:r w:rsidR="008A30B0">
        <w:rPr>
          <w:color w:val="000000"/>
          <w:u w:color="000000"/>
        </w:rPr>
        <w:fldChar w:fldCharType="end"/>
      </w:r>
      <w:r w:rsidR="00042390" w:rsidRPr="00CF2377">
        <w:rPr>
          <w:i/>
          <w:color w:val="000000"/>
          <w:u w:color="000000"/>
        </w:rPr>
        <w:t>Booker</w:t>
      </w:r>
      <w:r w:rsidR="00506681" w:rsidRPr="00CF2377">
        <w:rPr>
          <w:color w:val="000000"/>
          <w:u w:color="000000"/>
        </w:rPr>
        <w:t xml:space="preserve"> at</w:t>
      </w:r>
      <w:r w:rsidR="00042390" w:rsidRPr="00CF2377">
        <w:rPr>
          <w:color w:val="000000"/>
          <w:u w:color="000000"/>
        </w:rPr>
        <w:t xml:space="preserve"> 264-265.</w:t>
      </w:r>
    </w:p>
    <w:p w:rsidR="00F0266D" w:rsidRPr="00CF2377" w:rsidRDefault="00F0266D" w:rsidP="00F0266D">
      <w:pPr>
        <w:rPr>
          <w:color w:val="000000"/>
          <w:u w:color="000000"/>
        </w:rPr>
      </w:pPr>
    </w:p>
    <w:p w:rsidR="00C27329" w:rsidRPr="00CF2377" w:rsidRDefault="00C27329" w:rsidP="00F0266D">
      <w:pPr>
        <w:rPr>
          <w:color w:val="000000"/>
          <w:u w:color="000000"/>
        </w:rPr>
      </w:pPr>
    </w:p>
    <w:p w:rsidR="003D6100" w:rsidRPr="00CF2377" w:rsidRDefault="00042390" w:rsidP="003F3034">
      <w:pPr>
        <w:pStyle w:val="NormalDoubleSpace"/>
        <w:rPr>
          <w:b/>
          <w:i/>
          <w:color w:val="000000"/>
          <w:u w:color="000000"/>
        </w:rPr>
      </w:pPr>
      <w:r w:rsidRPr="00CF2377">
        <w:rPr>
          <w:color w:val="000000"/>
          <w:u w:color="000000"/>
        </w:rPr>
        <w:lastRenderedPageBreak/>
        <w:t xml:space="preserve"> </w:t>
      </w:r>
      <w:r w:rsidR="003D6100" w:rsidRPr="00CF2377">
        <w:rPr>
          <w:b/>
          <w:i/>
          <w:color w:val="000000"/>
          <w:u w:color="000000"/>
        </w:rPr>
        <w:t>The Court of Appeals May Review a Within Guidelines Sentence</w:t>
      </w:r>
    </w:p>
    <w:p w:rsidR="00305049" w:rsidRPr="00CF2377" w:rsidRDefault="00A00E4D" w:rsidP="008A30B0">
      <w:pPr>
        <w:pStyle w:val="NormalDoubleSpace"/>
        <w:ind w:firstLine="720"/>
        <w:jc w:val="both"/>
        <w:rPr>
          <w:i/>
          <w:color w:val="000000"/>
          <w:u w:color="000000"/>
        </w:rPr>
      </w:pPr>
      <w:r w:rsidRPr="00CF2377">
        <w:rPr>
          <w:color w:val="000000"/>
          <w:u w:color="000000"/>
        </w:rPr>
        <w:t>A sentence falling within the federal sentencing guidelines range may be presumed reasonable by the reviewing court, but th</w:t>
      </w:r>
      <w:r w:rsidR="00F0266D" w:rsidRPr="00CF2377">
        <w:rPr>
          <w:color w:val="000000"/>
          <w:u w:color="000000"/>
        </w:rPr>
        <w:t>at</w:t>
      </w:r>
      <w:r w:rsidRPr="00CF2377">
        <w:rPr>
          <w:color w:val="000000"/>
          <w:u w:color="000000"/>
        </w:rPr>
        <w:t xml:space="preserve"> presumption is </w:t>
      </w:r>
      <w:r w:rsidRPr="00CF2377">
        <w:rPr>
          <w:i/>
          <w:color w:val="000000"/>
          <w:u w:color="000000"/>
        </w:rPr>
        <w:t>not</w:t>
      </w:r>
      <w:r w:rsidRPr="00CF2377">
        <w:rPr>
          <w:color w:val="000000"/>
          <w:u w:color="000000"/>
        </w:rPr>
        <w:t xml:space="preserve"> binding.  </w:t>
      </w:r>
      <w:r w:rsidR="008A30B0">
        <w:rPr>
          <w:color w:val="000000"/>
          <w:u w:color="000000"/>
        </w:rPr>
        <w:fldChar w:fldCharType="begin"/>
      </w:r>
      <w:r w:rsidR="008A30B0">
        <w:instrText xml:space="preserve"> TA \l "</w:instrText>
      </w:r>
      <w:r w:rsidR="008A30B0" w:rsidRPr="008A30B0">
        <w:rPr>
          <w:i/>
        </w:rPr>
        <w:instrText>Rita v United States</w:instrText>
      </w:r>
      <w:r w:rsidR="008A30B0" w:rsidRPr="008A30B0">
        <w:instrText>, 551 US 338 (2007)</w:instrText>
      </w:r>
      <w:r w:rsidR="008A30B0">
        <w:instrText xml:space="preserve">" \s "WSFTA_9748788724b24e139fbcf81f18cb28bf" \c 3 </w:instrText>
      </w:r>
      <w:r w:rsidR="008A30B0">
        <w:rPr>
          <w:color w:val="000000"/>
          <w:u w:color="000000"/>
        </w:rPr>
        <w:fldChar w:fldCharType="end"/>
      </w:r>
      <w:r w:rsidRPr="00CF2377">
        <w:rPr>
          <w:i/>
          <w:color w:val="000000"/>
          <w:u w:color="000000"/>
        </w:rPr>
        <w:t>Rita v United States</w:t>
      </w:r>
      <w:r w:rsidRPr="00CF2377">
        <w:rPr>
          <w:color w:val="000000"/>
          <w:u w:color="000000"/>
        </w:rPr>
        <w:t>, 551 US 338, 347 (2007).</w:t>
      </w:r>
      <w:r w:rsidR="003D6100" w:rsidRPr="00CF2377">
        <w:rPr>
          <w:rStyle w:val="FootnoteReference"/>
          <w:color w:val="000000"/>
          <w:u w:color="000000"/>
        </w:rPr>
        <w:footnoteReference w:id="2"/>
      </w:r>
      <w:r w:rsidRPr="00CF2377">
        <w:rPr>
          <w:i/>
          <w:color w:val="000000"/>
          <w:u w:color="000000"/>
        </w:rPr>
        <w:t xml:space="preserve"> </w:t>
      </w:r>
      <w:r w:rsidR="003D6100" w:rsidRPr="00CF2377">
        <w:rPr>
          <w:color w:val="000000"/>
          <w:u w:color="000000"/>
        </w:rPr>
        <w:t xml:space="preserve">Under federal law, appellate review is for “reasonableness.” </w:t>
      </w:r>
      <w:r w:rsidR="008A30B0">
        <w:rPr>
          <w:color w:val="000000"/>
          <w:u w:color="000000"/>
        </w:rPr>
        <w:fldChar w:fldCharType="begin"/>
      </w:r>
      <w:r w:rsidR="008A30B0">
        <w:instrText xml:space="preserve"> TA \l "" \s "WSFTA_f738392ad1734d76b76e1c205a392b38" \c 3 </w:instrText>
      </w:r>
      <w:r w:rsidR="008A30B0">
        <w:rPr>
          <w:color w:val="000000"/>
          <w:u w:color="000000"/>
        </w:rPr>
        <w:fldChar w:fldCharType="end"/>
      </w:r>
      <w:r w:rsidR="003D6100" w:rsidRPr="00CF2377">
        <w:rPr>
          <w:i/>
          <w:color w:val="000000"/>
          <w:u w:color="000000"/>
        </w:rPr>
        <w:t>Booker</w:t>
      </w:r>
      <w:r w:rsidR="003D6100" w:rsidRPr="00CF2377">
        <w:rPr>
          <w:color w:val="000000"/>
          <w:u w:color="000000"/>
        </w:rPr>
        <w:t xml:space="preserve"> at 261-263.  “Reasonableness” refers to </w:t>
      </w:r>
      <w:r w:rsidR="00F0266D" w:rsidRPr="00CF2377">
        <w:rPr>
          <w:color w:val="000000"/>
          <w:u w:color="000000"/>
        </w:rPr>
        <w:t>the</w:t>
      </w:r>
      <w:r w:rsidR="003D6100" w:rsidRPr="00CF2377">
        <w:rPr>
          <w:color w:val="000000"/>
          <w:u w:color="000000"/>
        </w:rPr>
        <w:t xml:space="preserve"> abuse of discretion standard.  </w:t>
      </w:r>
      <w:r w:rsidR="008A30B0">
        <w:rPr>
          <w:color w:val="000000"/>
          <w:u w:color="000000"/>
        </w:rPr>
        <w:fldChar w:fldCharType="begin"/>
      </w:r>
      <w:r w:rsidR="008A30B0">
        <w:instrText xml:space="preserve"> TA \l "</w:instrText>
      </w:r>
      <w:r w:rsidR="008A30B0" w:rsidRPr="008A30B0">
        <w:rPr>
          <w:i/>
        </w:rPr>
        <w:instrText>United States v Gall,</w:instrText>
      </w:r>
      <w:r w:rsidR="008A30B0" w:rsidRPr="008A30B0">
        <w:instrText xml:space="preserve"> 552 US 38 (2007)</w:instrText>
      </w:r>
      <w:r w:rsidR="008A30B0">
        <w:instrText xml:space="preserve">" \s "WSFTA_1b8a0a223fcb41738df3fc071d6b378e" \c 3 </w:instrText>
      </w:r>
      <w:r w:rsidR="008A30B0">
        <w:rPr>
          <w:color w:val="000000"/>
          <w:u w:color="000000"/>
        </w:rPr>
        <w:fldChar w:fldCharType="end"/>
      </w:r>
      <w:r w:rsidR="003D6100" w:rsidRPr="00CF2377">
        <w:rPr>
          <w:i/>
          <w:color w:val="000000"/>
          <w:u w:color="000000"/>
        </w:rPr>
        <w:t>United States v Gall</w:t>
      </w:r>
      <w:r w:rsidR="003D6100" w:rsidRPr="00CF2377">
        <w:rPr>
          <w:color w:val="000000"/>
          <w:u w:color="000000"/>
        </w:rPr>
        <w:t>, 552 US 38, 46 (2007).</w:t>
      </w:r>
    </w:p>
    <w:p w:rsidR="00F0266D" w:rsidRPr="00CF2377" w:rsidRDefault="003D6100" w:rsidP="008A30B0">
      <w:pPr>
        <w:pStyle w:val="NormalDoubleSpace"/>
        <w:ind w:firstLine="720"/>
        <w:jc w:val="both"/>
        <w:rPr>
          <w:color w:val="000000"/>
          <w:u w:color="000000"/>
        </w:rPr>
      </w:pPr>
      <w:r w:rsidRPr="00CF2377">
        <w:rPr>
          <w:color w:val="000000"/>
          <w:u w:color="000000"/>
        </w:rPr>
        <w:t xml:space="preserve">This Court should </w:t>
      </w:r>
      <w:r w:rsidR="00F0266D" w:rsidRPr="00CF2377">
        <w:rPr>
          <w:color w:val="000000"/>
          <w:u w:color="000000"/>
        </w:rPr>
        <w:t>conclude as an initial matter</w:t>
      </w:r>
      <w:r w:rsidR="00291F40" w:rsidRPr="00CF2377">
        <w:rPr>
          <w:color w:val="000000"/>
          <w:u w:color="000000"/>
        </w:rPr>
        <w:t xml:space="preserve"> that</w:t>
      </w:r>
      <w:r w:rsidR="00883DF0" w:rsidRPr="00CF2377">
        <w:rPr>
          <w:color w:val="000000"/>
          <w:u w:color="000000"/>
        </w:rPr>
        <w:t xml:space="preserve"> </w:t>
      </w:r>
      <w:r w:rsidR="00506681" w:rsidRPr="00CF2377">
        <w:rPr>
          <w:color w:val="000000"/>
          <w:u w:color="000000"/>
        </w:rPr>
        <w:t xml:space="preserve">the first sentence of </w:t>
      </w:r>
      <w:r w:rsidR="008A30B0">
        <w:rPr>
          <w:color w:val="000000"/>
          <w:u w:color="000000"/>
        </w:rPr>
        <w:fldChar w:fldCharType="begin"/>
      </w:r>
      <w:r w:rsidR="008A30B0">
        <w:instrText xml:space="preserve"> TA \l "</w:instrText>
      </w:r>
      <w:r w:rsidR="008A30B0" w:rsidRPr="008A30B0">
        <w:instrText>MCL 769.34(10)</w:instrText>
      </w:r>
      <w:r w:rsidR="008A30B0">
        <w:instrText xml:space="preserve">" \s "WSFTA_db5ac5530f97417e9148984ccab56f42" \c 6 </w:instrText>
      </w:r>
      <w:r w:rsidR="008A30B0">
        <w:rPr>
          <w:color w:val="000000"/>
          <w:u w:color="000000"/>
        </w:rPr>
        <w:fldChar w:fldCharType="end"/>
      </w:r>
      <w:r w:rsidR="00506681" w:rsidRPr="00CF2377">
        <w:rPr>
          <w:color w:val="000000"/>
          <w:u w:color="000000"/>
        </w:rPr>
        <w:t>MC</w:t>
      </w:r>
      <w:r w:rsidR="00291F40" w:rsidRPr="00CF2377">
        <w:rPr>
          <w:color w:val="000000"/>
          <w:u w:color="000000"/>
        </w:rPr>
        <w:t xml:space="preserve">L 769.34(10) is no longer valid.  That statutory subsection </w:t>
      </w:r>
      <w:r w:rsidR="00F0266D" w:rsidRPr="00CF2377">
        <w:rPr>
          <w:color w:val="000000"/>
          <w:u w:color="000000"/>
        </w:rPr>
        <w:t>begins</w:t>
      </w:r>
      <w:r w:rsidR="00883DF0" w:rsidRPr="00CF2377">
        <w:rPr>
          <w:color w:val="000000"/>
          <w:u w:color="000000"/>
        </w:rPr>
        <w:t xml:space="preserve">:  </w:t>
      </w:r>
      <w:r w:rsidR="00291F40" w:rsidRPr="00CF2377">
        <w:rPr>
          <w:color w:val="000000"/>
          <w:u w:color="000000"/>
        </w:rPr>
        <w:t xml:space="preserve">“If a minimum sentence is within the appropriate sentence guidelines range, the court of appeals shall affirm that sentence and shall not remand for resentencing absent an error in the scoring of the sentencing guidelines or inaccurate information relied upon in determining the sentence.” </w:t>
      </w:r>
      <w:r w:rsidR="00883DF0" w:rsidRPr="00CF2377">
        <w:rPr>
          <w:color w:val="000000"/>
          <w:u w:color="000000"/>
        </w:rPr>
        <w:t>Because t</w:t>
      </w:r>
      <w:r w:rsidR="00291F40" w:rsidRPr="00CF2377">
        <w:rPr>
          <w:color w:val="000000"/>
          <w:u w:color="000000"/>
        </w:rPr>
        <w:t>he</w:t>
      </w:r>
      <w:r w:rsidR="00506681" w:rsidRPr="00CF2377">
        <w:rPr>
          <w:color w:val="000000"/>
          <w:u w:color="000000"/>
        </w:rPr>
        <w:t xml:space="preserve"> sentencing guidelines in </w:t>
      </w:r>
      <w:r w:rsidR="00291F40" w:rsidRPr="00CF2377">
        <w:rPr>
          <w:color w:val="000000"/>
          <w:u w:color="000000"/>
        </w:rPr>
        <w:t xml:space="preserve">Michigan </w:t>
      </w:r>
      <w:r w:rsidR="00883DF0" w:rsidRPr="00CF2377">
        <w:rPr>
          <w:color w:val="000000"/>
          <w:u w:color="000000"/>
        </w:rPr>
        <w:t xml:space="preserve">now </w:t>
      </w:r>
      <w:r w:rsidR="00291F40" w:rsidRPr="00CF2377">
        <w:rPr>
          <w:color w:val="000000"/>
          <w:u w:color="000000"/>
        </w:rPr>
        <w:t xml:space="preserve">provide for an advisory rather than mandatory range, </w:t>
      </w:r>
      <w:r w:rsidR="00883DF0" w:rsidRPr="00CF2377">
        <w:rPr>
          <w:color w:val="000000"/>
          <w:u w:color="000000"/>
        </w:rPr>
        <w:t>there</w:t>
      </w:r>
      <w:r w:rsidR="00291F40" w:rsidRPr="00CF2377">
        <w:rPr>
          <w:color w:val="000000"/>
          <w:u w:color="000000"/>
        </w:rPr>
        <w:t xml:space="preserve"> can be no </w:t>
      </w:r>
      <w:r w:rsidR="00291F40" w:rsidRPr="00CF2377">
        <w:rPr>
          <w:i/>
          <w:color w:val="000000"/>
          <w:u w:color="000000"/>
        </w:rPr>
        <w:t>binding</w:t>
      </w:r>
      <w:r w:rsidR="00291F40" w:rsidRPr="00CF2377">
        <w:rPr>
          <w:color w:val="000000"/>
          <w:u w:color="000000"/>
        </w:rPr>
        <w:t xml:space="preserve"> presumption of reasonableness.  See </w:t>
      </w:r>
      <w:r w:rsidR="008A30B0">
        <w:rPr>
          <w:color w:val="000000"/>
          <w:u w:color="000000"/>
        </w:rPr>
        <w:fldChar w:fldCharType="begin"/>
      </w:r>
      <w:r w:rsidR="008A30B0">
        <w:instrText xml:space="preserve"> TA \l "" \s "WSFTA_9748788724b24e139fbcf81f18cb28bf" \c 3 </w:instrText>
      </w:r>
      <w:r w:rsidR="008A30B0">
        <w:rPr>
          <w:color w:val="000000"/>
          <w:u w:color="000000"/>
        </w:rPr>
        <w:fldChar w:fldCharType="end"/>
      </w:r>
      <w:r w:rsidR="00291F40" w:rsidRPr="00CF2377">
        <w:rPr>
          <w:i/>
          <w:color w:val="000000"/>
          <w:u w:color="000000"/>
        </w:rPr>
        <w:t xml:space="preserve">Rita, supra.  </w:t>
      </w:r>
      <w:r w:rsidR="00291F40" w:rsidRPr="00CF2377">
        <w:rPr>
          <w:color w:val="000000"/>
          <w:u w:color="000000"/>
        </w:rPr>
        <w:t>The non-binding nature</w:t>
      </w:r>
      <w:r w:rsidR="00883DF0" w:rsidRPr="00CF2377">
        <w:rPr>
          <w:color w:val="000000"/>
          <w:u w:color="000000"/>
        </w:rPr>
        <w:t xml:space="preserve"> of</w:t>
      </w:r>
      <w:r w:rsidR="00291F40" w:rsidRPr="00CF2377">
        <w:rPr>
          <w:color w:val="000000"/>
          <w:u w:color="000000"/>
        </w:rPr>
        <w:t xml:space="preserve"> subsection (10) is </w:t>
      </w:r>
      <w:r w:rsidR="00883DF0" w:rsidRPr="00CF2377">
        <w:rPr>
          <w:color w:val="000000"/>
          <w:u w:color="000000"/>
        </w:rPr>
        <w:t xml:space="preserve">also </w:t>
      </w:r>
      <w:r w:rsidR="00291F40" w:rsidRPr="00CF2377">
        <w:rPr>
          <w:color w:val="000000"/>
          <w:u w:color="000000"/>
        </w:rPr>
        <w:t xml:space="preserve">consistent with the </w:t>
      </w:r>
      <w:r w:rsidR="00883DF0" w:rsidRPr="00CF2377">
        <w:rPr>
          <w:color w:val="000000"/>
          <w:u w:color="000000"/>
        </w:rPr>
        <w:t xml:space="preserve">Michigan Supreme Court’s recognition in </w:t>
      </w:r>
      <w:r w:rsidR="008A30B0">
        <w:rPr>
          <w:color w:val="000000"/>
          <w:u w:color="000000"/>
        </w:rPr>
        <w:fldChar w:fldCharType="begin"/>
      </w:r>
      <w:r w:rsidR="008A30B0">
        <w:instrText xml:space="preserve"> TA \l "" \s "WSFTA_2c9b6eebc3b7424d9cc6f93cfcc7cd63" \c 3 </w:instrText>
      </w:r>
      <w:r w:rsidR="008A30B0">
        <w:rPr>
          <w:color w:val="000000"/>
          <w:u w:color="000000"/>
        </w:rPr>
        <w:fldChar w:fldCharType="end"/>
      </w:r>
      <w:r w:rsidR="00883DF0" w:rsidRPr="00CF2377">
        <w:rPr>
          <w:i/>
          <w:color w:val="000000"/>
          <w:u w:color="000000"/>
        </w:rPr>
        <w:t>Milbourn</w:t>
      </w:r>
      <w:r w:rsidR="00883DF0" w:rsidRPr="00CF2377">
        <w:rPr>
          <w:color w:val="000000"/>
          <w:u w:color="000000"/>
        </w:rPr>
        <w:t xml:space="preserve">, </w:t>
      </w:r>
      <w:r w:rsidR="00883DF0" w:rsidRPr="00CF2377">
        <w:rPr>
          <w:i/>
          <w:color w:val="000000"/>
          <w:u w:color="000000"/>
        </w:rPr>
        <w:t>supra,</w:t>
      </w:r>
      <w:r w:rsidR="00883DF0" w:rsidRPr="00CF2377">
        <w:rPr>
          <w:color w:val="000000"/>
          <w:u w:color="000000"/>
        </w:rPr>
        <w:t xml:space="preserve"> that a sentence falling within the advisory </w:t>
      </w:r>
      <w:r w:rsidR="00506681" w:rsidRPr="00CF2377">
        <w:rPr>
          <w:color w:val="000000"/>
          <w:u w:color="000000"/>
        </w:rPr>
        <w:t>(</w:t>
      </w:r>
      <w:r w:rsidR="00883DF0" w:rsidRPr="00CF2377">
        <w:rPr>
          <w:color w:val="000000"/>
          <w:u w:color="000000"/>
        </w:rPr>
        <w:t>judicial</w:t>
      </w:r>
      <w:r w:rsidR="00506681" w:rsidRPr="00CF2377">
        <w:rPr>
          <w:color w:val="000000"/>
          <w:u w:color="000000"/>
        </w:rPr>
        <w:t>)</w:t>
      </w:r>
      <w:r w:rsidR="00883DF0" w:rsidRPr="00CF2377">
        <w:rPr>
          <w:color w:val="000000"/>
          <w:u w:color="000000"/>
        </w:rPr>
        <w:t xml:space="preserve"> sentencing guidelines range </w:t>
      </w:r>
      <w:r w:rsidR="00F0266D" w:rsidRPr="00CF2377">
        <w:rPr>
          <w:color w:val="000000"/>
          <w:u w:color="000000"/>
        </w:rPr>
        <w:t xml:space="preserve">could </w:t>
      </w:r>
      <w:r w:rsidR="00883DF0" w:rsidRPr="00CF2377">
        <w:rPr>
          <w:color w:val="000000"/>
          <w:u w:color="000000"/>
        </w:rPr>
        <w:t>constitute an abuse of discretion in unusual circumstances.</w:t>
      </w:r>
    </w:p>
    <w:p w:rsidR="00883DF0" w:rsidRPr="00CF2377" w:rsidRDefault="00F0266D" w:rsidP="008A30B0">
      <w:pPr>
        <w:pStyle w:val="NormalDoubleSpace"/>
        <w:ind w:firstLine="720"/>
        <w:jc w:val="both"/>
        <w:rPr>
          <w:color w:val="000000"/>
          <w:spacing w:val="-3"/>
          <w:szCs w:val="24"/>
          <w:u w:color="000000"/>
        </w:rPr>
      </w:pPr>
      <w:r w:rsidRPr="00CF2377">
        <w:rPr>
          <w:color w:val="000000"/>
          <w:u w:color="000000"/>
        </w:rPr>
        <w:t>T</w:t>
      </w:r>
      <w:r w:rsidR="00883DF0" w:rsidRPr="00CF2377">
        <w:rPr>
          <w:color w:val="000000"/>
          <w:u w:color="000000"/>
        </w:rPr>
        <w:t xml:space="preserve">he </w:t>
      </w:r>
      <w:r w:rsidR="00883DF0" w:rsidRPr="00CF2377">
        <w:rPr>
          <w:i/>
          <w:color w:val="000000"/>
          <w:u w:color="000000"/>
        </w:rPr>
        <w:t>Lockridge</w:t>
      </w:r>
      <w:r w:rsidR="00883DF0" w:rsidRPr="00CF2377">
        <w:rPr>
          <w:color w:val="000000"/>
          <w:u w:color="000000"/>
        </w:rPr>
        <w:t xml:space="preserve"> Court recognized </w:t>
      </w:r>
      <w:r w:rsidR="00883DF0" w:rsidRPr="00CF2377">
        <w:rPr>
          <w:color w:val="000000"/>
          <w:spacing w:val="-3"/>
          <w:szCs w:val="24"/>
          <w:u w:color="000000"/>
        </w:rPr>
        <w:t xml:space="preserve">that portions of </w:t>
      </w:r>
      <w:r w:rsidR="008A30B0">
        <w:rPr>
          <w:color w:val="000000"/>
          <w:spacing w:val="-3"/>
          <w:szCs w:val="24"/>
          <w:u w:color="000000"/>
        </w:rPr>
        <w:fldChar w:fldCharType="begin"/>
      </w:r>
      <w:r w:rsidR="008A30B0">
        <w:instrText xml:space="preserve"> TA \l "</w:instrText>
      </w:r>
      <w:r w:rsidR="008A30B0" w:rsidRPr="008A30B0">
        <w:instrText>MCL 769.34</w:instrText>
      </w:r>
      <w:r w:rsidR="008A30B0">
        <w:instrText xml:space="preserve">" \s "WSFTA_cacd0d85fa894cf2bc263c174dc4071b" \c 6 </w:instrText>
      </w:r>
      <w:r w:rsidR="008A30B0">
        <w:rPr>
          <w:color w:val="000000"/>
          <w:spacing w:val="-3"/>
          <w:szCs w:val="24"/>
          <w:u w:color="000000"/>
        </w:rPr>
        <w:fldChar w:fldCharType="end"/>
      </w:r>
      <w:r w:rsidR="00883DF0" w:rsidRPr="00CF2377">
        <w:rPr>
          <w:color w:val="000000"/>
          <w:spacing w:val="-3"/>
          <w:szCs w:val="24"/>
          <w:u w:color="000000"/>
        </w:rPr>
        <w:t xml:space="preserve">MCL 769.34 going beyond </w:t>
      </w:r>
      <w:r w:rsidR="0046425E" w:rsidRPr="00CF2377">
        <w:rPr>
          <w:color w:val="000000"/>
          <w:spacing w:val="-3"/>
          <w:szCs w:val="24"/>
          <w:u w:color="000000"/>
        </w:rPr>
        <w:t>the problematic subsections (2) and (3)</w:t>
      </w:r>
      <w:r w:rsidR="00883DF0" w:rsidRPr="00CF2377">
        <w:rPr>
          <w:color w:val="000000"/>
          <w:spacing w:val="-3"/>
          <w:szCs w:val="24"/>
          <w:u w:color="000000"/>
        </w:rPr>
        <w:t xml:space="preserve"> might need to be severed </w:t>
      </w:r>
      <w:r w:rsidR="004F284C" w:rsidRPr="00CF2377">
        <w:rPr>
          <w:color w:val="000000"/>
          <w:spacing w:val="-3"/>
          <w:szCs w:val="24"/>
          <w:u w:color="000000"/>
        </w:rPr>
        <w:t>in the future</w:t>
      </w:r>
      <w:r w:rsidR="00883DF0" w:rsidRPr="00CF2377">
        <w:rPr>
          <w:color w:val="000000"/>
          <w:spacing w:val="-3"/>
          <w:szCs w:val="24"/>
          <w:u w:color="000000"/>
        </w:rPr>
        <w:t xml:space="preserve">:  “To the extent that any part of </w:t>
      </w:r>
      <w:r w:rsidR="008A30B0">
        <w:rPr>
          <w:color w:val="000000"/>
          <w:spacing w:val="-3"/>
          <w:szCs w:val="24"/>
          <w:u w:color="000000"/>
        </w:rPr>
        <w:fldChar w:fldCharType="begin"/>
      </w:r>
      <w:r w:rsidR="008A30B0">
        <w:instrText xml:space="preserve"> TA \l "" \s "WSFTA_cacd0d85fa894cf2bc263c174dc4071b" \c 6 </w:instrText>
      </w:r>
      <w:r w:rsidR="008A30B0">
        <w:rPr>
          <w:color w:val="000000"/>
          <w:spacing w:val="-3"/>
          <w:szCs w:val="24"/>
          <w:u w:color="000000"/>
        </w:rPr>
        <w:fldChar w:fldCharType="end"/>
      </w:r>
      <w:r w:rsidR="00883DF0" w:rsidRPr="00CF2377">
        <w:rPr>
          <w:color w:val="000000"/>
          <w:spacing w:val="-3"/>
          <w:szCs w:val="24"/>
          <w:u w:color="000000"/>
        </w:rPr>
        <w:t xml:space="preserve">MCL 769.34 or another statute refers to use of the sentencing guidelines as mandatory or refers to departures from the guidelines, that part or statute is also severed or struck down as necessary.”  </w:t>
      </w:r>
      <w:r w:rsidR="00883DF0" w:rsidRPr="00CF2377">
        <w:rPr>
          <w:i/>
          <w:color w:val="000000"/>
          <w:spacing w:val="-3"/>
          <w:szCs w:val="24"/>
          <w:u w:color="000000"/>
        </w:rPr>
        <w:t>Id.</w:t>
      </w:r>
      <w:r w:rsidR="00883DF0" w:rsidRPr="00CF2377">
        <w:rPr>
          <w:color w:val="000000"/>
          <w:spacing w:val="-3"/>
          <w:szCs w:val="24"/>
          <w:u w:color="000000"/>
        </w:rPr>
        <w:t>, at 2 and n 1.</w:t>
      </w:r>
    </w:p>
    <w:p w:rsidR="00883DF0" w:rsidRPr="00CF2377" w:rsidRDefault="00883DF0" w:rsidP="008A30B0">
      <w:pPr>
        <w:pStyle w:val="NormalDoubleSpace"/>
        <w:ind w:firstLine="720"/>
        <w:jc w:val="both"/>
        <w:rPr>
          <w:color w:val="000000"/>
          <w:spacing w:val="-3"/>
          <w:szCs w:val="24"/>
          <w:u w:color="000000"/>
        </w:rPr>
      </w:pPr>
      <w:r w:rsidRPr="00CF2377">
        <w:rPr>
          <w:color w:val="000000"/>
          <w:spacing w:val="-3"/>
          <w:szCs w:val="24"/>
          <w:u w:color="000000"/>
        </w:rPr>
        <w:lastRenderedPageBreak/>
        <w:t>Th</w:t>
      </w:r>
      <w:r w:rsidR="0046425E" w:rsidRPr="00CF2377">
        <w:rPr>
          <w:color w:val="000000"/>
          <w:spacing w:val="-3"/>
          <w:szCs w:val="24"/>
          <w:u w:color="000000"/>
        </w:rPr>
        <w:t>is</w:t>
      </w:r>
      <w:r w:rsidRPr="00CF2377">
        <w:rPr>
          <w:color w:val="000000"/>
          <w:spacing w:val="-3"/>
          <w:szCs w:val="24"/>
          <w:u w:color="000000"/>
        </w:rPr>
        <w:t xml:space="preserve"> Court should conclude</w:t>
      </w:r>
      <w:r w:rsidR="004F284C" w:rsidRPr="00CF2377">
        <w:rPr>
          <w:color w:val="000000"/>
          <w:spacing w:val="-3"/>
          <w:szCs w:val="24"/>
          <w:u w:color="000000"/>
        </w:rPr>
        <w:t>,</w:t>
      </w:r>
      <w:r w:rsidR="0046425E" w:rsidRPr="00CF2377">
        <w:rPr>
          <w:color w:val="000000"/>
          <w:spacing w:val="-3"/>
          <w:szCs w:val="24"/>
          <w:u w:color="000000"/>
        </w:rPr>
        <w:t xml:space="preserve"> consistent with </w:t>
      </w:r>
      <w:r w:rsidR="0046425E" w:rsidRPr="00CF2377">
        <w:rPr>
          <w:i/>
          <w:color w:val="000000"/>
          <w:spacing w:val="-3"/>
          <w:szCs w:val="24"/>
          <w:u w:color="000000"/>
        </w:rPr>
        <w:t xml:space="preserve">Lockridge, Rita </w:t>
      </w:r>
      <w:r w:rsidR="0046425E" w:rsidRPr="00CF2377">
        <w:rPr>
          <w:color w:val="000000"/>
          <w:spacing w:val="-3"/>
          <w:szCs w:val="24"/>
          <w:u w:color="000000"/>
        </w:rPr>
        <w:t xml:space="preserve">and </w:t>
      </w:r>
      <w:r w:rsidR="0046425E" w:rsidRPr="00CF2377">
        <w:rPr>
          <w:i/>
          <w:color w:val="000000"/>
          <w:spacing w:val="-3"/>
          <w:szCs w:val="24"/>
          <w:u w:color="000000"/>
        </w:rPr>
        <w:t>Milbourn</w:t>
      </w:r>
      <w:r w:rsidR="004F284C" w:rsidRPr="00CF2377">
        <w:rPr>
          <w:color w:val="000000"/>
          <w:spacing w:val="-3"/>
          <w:szCs w:val="24"/>
          <w:u w:color="000000"/>
        </w:rPr>
        <w:t>,</w:t>
      </w:r>
      <w:r w:rsidRPr="00CF2377">
        <w:rPr>
          <w:color w:val="000000"/>
          <w:spacing w:val="-3"/>
          <w:szCs w:val="24"/>
          <w:u w:color="000000"/>
        </w:rPr>
        <w:t xml:space="preserve"> that</w:t>
      </w:r>
      <w:r w:rsidR="00F0266D" w:rsidRPr="00CF2377">
        <w:rPr>
          <w:color w:val="000000"/>
          <w:spacing w:val="-3"/>
          <w:szCs w:val="24"/>
          <w:u w:color="000000"/>
        </w:rPr>
        <w:t xml:space="preserve"> the first sentence of</w:t>
      </w:r>
      <w:r w:rsidRPr="00CF2377">
        <w:rPr>
          <w:color w:val="000000"/>
          <w:spacing w:val="-3"/>
          <w:szCs w:val="24"/>
          <w:u w:color="000000"/>
        </w:rPr>
        <w:t xml:space="preserve"> </w:t>
      </w:r>
      <w:r w:rsidR="008A30B0">
        <w:rPr>
          <w:color w:val="000000"/>
          <w:spacing w:val="-3"/>
          <w:szCs w:val="24"/>
          <w:u w:color="000000"/>
        </w:rPr>
        <w:fldChar w:fldCharType="begin"/>
      </w:r>
      <w:r w:rsidR="008A30B0">
        <w:instrText xml:space="preserve"> TA \l "" \s "WSFTA_db5ac5530f97417e9148984ccab56f42" \c 6 </w:instrText>
      </w:r>
      <w:r w:rsidR="008A30B0">
        <w:rPr>
          <w:color w:val="000000"/>
          <w:spacing w:val="-3"/>
          <w:szCs w:val="24"/>
          <w:u w:color="000000"/>
        </w:rPr>
        <w:fldChar w:fldCharType="end"/>
      </w:r>
      <w:r w:rsidRPr="00CF2377">
        <w:rPr>
          <w:color w:val="000000"/>
          <w:spacing w:val="-3"/>
          <w:szCs w:val="24"/>
          <w:u w:color="000000"/>
        </w:rPr>
        <w:t>MCL 769.34(10) now permits appellate review of a sentence falling within the advisory sentencing guidelines range.</w:t>
      </w:r>
    </w:p>
    <w:p w:rsidR="00F0266D" w:rsidRPr="00CF2377" w:rsidRDefault="00F0266D" w:rsidP="008A30B0">
      <w:pPr>
        <w:jc w:val="both"/>
        <w:rPr>
          <w:color w:val="000000"/>
          <w:u w:color="000000"/>
        </w:rPr>
      </w:pPr>
    </w:p>
    <w:p w:rsidR="004F284C" w:rsidRPr="00CF2377" w:rsidRDefault="004F284C" w:rsidP="008A30B0">
      <w:pPr>
        <w:pStyle w:val="NormalDoubleSpace"/>
        <w:jc w:val="both"/>
        <w:rPr>
          <w:b/>
          <w:i/>
          <w:color w:val="000000"/>
          <w:spacing w:val="-3"/>
          <w:szCs w:val="24"/>
          <w:u w:color="000000"/>
        </w:rPr>
      </w:pPr>
      <w:r w:rsidRPr="00CF2377">
        <w:rPr>
          <w:b/>
          <w:i/>
          <w:color w:val="000000"/>
          <w:spacing w:val="-3"/>
          <w:szCs w:val="24"/>
          <w:u w:color="000000"/>
        </w:rPr>
        <w:t>The Minimum Sentence of 17 Years Is Unreasonable and Disproportionate</w:t>
      </w:r>
    </w:p>
    <w:p w:rsidR="004F284C" w:rsidRPr="00CF2377" w:rsidRDefault="004F284C" w:rsidP="008A30B0">
      <w:pPr>
        <w:pStyle w:val="NormalDoubleSpace"/>
        <w:jc w:val="both"/>
        <w:rPr>
          <w:color w:val="000000"/>
          <w:spacing w:val="-3"/>
          <w:szCs w:val="24"/>
          <w:u w:color="000000"/>
        </w:rPr>
      </w:pPr>
      <w:r w:rsidRPr="00CF2377">
        <w:rPr>
          <w:b/>
          <w:color w:val="000000"/>
          <w:spacing w:val="-3"/>
          <w:szCs w:val="24"/>
          <w:u w:color="000000"/>
        </w:rPr>
        <w:tab/>
      </w:r>
      <w:r w:rsidRPr="00CF2377">
        <w:rPr>
          <w:color w:val="000000"/>
          <w:spacing w:val="-3"/>
          <w:szCs w:val="24"/>
          <w:u w:color="000000"/>
        </w:rPr>
        <w:t>The trial judge imposed a 17-year (204 months) minimum term</w:t>
      </w:r>
      <w:r w:rsidR="004D675B" w:rsidRPr="00CF2377">
        <w:rPr>
          <w:color w:val="000000"/>
          <w:spacing w:val="-3"/>
          <w:szCs w:val="24"/>
          <w:u w:color="000000"/>
        </w:rPr>
        <w:t xml:space="preserve"> in this case</w:t>
      </w:r>
      <w:r w:rsidRPr="00CF2377">
        <w:rPr>
          <w:color w:val="000000"/>
          <w:spacing w:val="-3"/>
          <w:szCs w:val="24"/>
          <w:u w:color="000000"/>
        </w:rPr>
        <w:t xml:space="preserve">.  The sentence fell within the sentencing guidelines range, although slightly toward the top of the range of 108 to 270 months.  See </w:t>
      </w:r>
      <w:r w:rsidRPr="00CF2377">
        <w:rPr>
          <w:i/>
          <w:color w:val="000000"/>
          <w:spacing w:val="-3"/>
          <w:szCs w:val="24"/>
          <w:u w:color="000000"/>
        </w:rPr>
        <w:t>Sentencing Information Report,</w:t>
      </w:r>
      <w:r w:rsidRPr="00CF2377">
        <w:rPr>
          <w:color w:val="000000"/>
          <w:spacing w:val="-3"/>
          <w:szCs w:val="24"/>
          <w:u w:color="000000"/>
        </w:rPr>
        <w:t xml:space="preserve"> Appendix B.</w:t>
      </w:r>
    </w:p>
    <w:p w:rsidR="004F284C" w:rsidRPr="00CF2377" w:rsidRDefault="004F284C" w:rsidP="008A30B0">
      <w:pPr>
        <w:pStyle w:val="NormalDoubleSpace"/>
        <w:jc w:val="both"/>
        <w:rPr>
          <w:color w:val="000000"/>
          <w:spacing w:val="-3"/>
          <w:szCs w:val="24"/>
          <w:u w:color="000000"/>
        </w:rPr>
      </w:pPr>
      <w:r w:rsidRPr="00CF2377">
        <w:rPr>
          <w:color w:val="000000"/>
          <w:spacing w:val="-3"/>
          <w:szCs w:val="24"/>
          <w:u w:color="000000"/>
        </w:rPr>
        <w:tab/>
        <w:t>The trial judge</w:t>
      </w:r>
      <w:r w:rsidR="00F0266D" w:rsidRPr="00CF2377">
        <w:rPr>
          <w:color w:val="000000"/>
          <w:spacing w:val="-3"/>
          <w:szCs w:val="24"/>
          <w:u w:color="000000"/>
        </w:rPr>
        <w:t xml:space="preserve"> expressed her reasons for the sentence including the fact that she </w:t>
      </w:r>
      <w:r w:rsidRPr="00CF2377">
        <w:rPr>
          <w:color w:val="000000"/>
          <w:spacing w:val="-3"/>
          <w:szCs w:val="24"/>
          <w:u w:color="000000"/>
        </w:rPr>
        <w:t xml:space="preserve">was </w:t>
      </w:r>
      <w:r w:rsidR="00F0266D" w:rsidRPr="00CF2377">
        <w:rPr>
          <w:color w:val="000000"/>
          <w:spacing w:val="-3"/>
          <w:szCs w:val="24"/>
          <w:u w:color="000000"/>
        </w:rPr>
        <w:t>“</w:t>
      </w:r>
      <w:r w:rsidRPr="00CF2377">
        <w:rPr>
          <w:color w:val="000000"/>
          <w:spacing w:val="-3"/>
          <w:szCs w:val="24"/>
          <w:u w:color="000000"/>
        </w:rPr>
        <w:t>sadden</w:t>
      </w:r>
      <w:r w:rsidR="00F0266D" w:rsidRPr="00CF2377">
        <w:rPr>
          <w:color w:val="000000"/>
          <w:spacing w:val="-3"/>
          <w:szCs w:val="24"/>
          <w:u w:color="000000"/>
        </w:rPr>
        <w:t>[</w:t>
      </w:r>
      <w:r w:rsidRPr="00CF2377">
        <w:rPr>
          <w:color w:val="000000"/>
          <w:spacing w:val="-3"/>
          <w:szCs w:val="24"/>
          <w:u w:color="000000"/>
        </w:rPr>
        <w:t>ed</w:t>
      </w:r>
      <w:r w:rsidR="00F0266D" w:rsidRPr="00CF2377">
        <w:rPr>
          <w:color w:val="000000"/>
          <w:spacing w:val="-3"/>
          <w:szCs w:val="24"/>
          <w:u w:color="000000"/>
        </w:rPr>
        <w:t>]”</w:t>
      </w:r>
      <w:r w:rsidRPr="00CF2377">
        <w:rPr>
          <w:color w:val="000000"/>
          <w:spacing w:val="-3"/>
          <w:szCs w:val="24"/>
          <w:u w:color="000000"/>
        </w:rPr>
        <w:t xml:space="preserve"> by Mr. </w:t>
      </w:r>
      <w:r w:rsidR="003629D0">
        <w:rPr>
          <w:color w:val="000000"/>
          <w:spacing w:val="-3"/>
          <w:szCs w:val="24"/>
          <w:u w:color="000000"/>
        </w:rPr>
        <w:t>Defendant</w:t>
      </w:r>
      <w:r w:rsidRPr="00CF2377">
        <w:rPr>
          <w:color w:val="000000"/>
          <w:spacing w:val="-3"/>
          <w:szCs w:val="24"/>
          <w:u w:color="000000"/>
        </w:rPr>
        <w:t xml:space="preserve">’s prior record and the robbery of “a few measly dollars” without a weapon by an individual who had “wonderful letters” written about him and was “not the worst criminal” to appear before the court.  The judge nevertheless imposed a 17-year minimum term </w:t>
      </w:r>
      <w:r w:rsidR="00F0266D" w:rsidRPr="00CF2377">
        <w:rPr>
          <w:color w:val="000000"/>
          <w:spacing w:val="-3"/>
          <w:szCs w:val="24"/>
          <w:u w:color="000000"/>
        </w:rPr>
        <w:t xml:space="preserve">because she thought Mr. </w:t>
      </w:r>
      <w:r w:rsidR="003629D0">
        <w:rPr>
          <w:color w:val="000000"/>
          <w:spacing w:val="-3"/>
          <w:szCs w:val="24"/>
          <w:u w:color="000000"/>
        </w:rPr>
        <w:t>Defendant</w:t>
      </w:r>
      <w:r w:rsidR="00F0266D" w:rsidRPr="00CF2377">
        <w:rPr>
          <w:color w:val="000000"/>
          <w:spacing w:val="-3"/>
          <w:szCs w:val="24"/>
          <w:u w:color="000000"/>
        </w:rPr>
        <w:t xml:space="preserve"> would repeat the conduct and there was a ne</w:t>
      </w:r>
      <w:r w:rsidR="00B30718" w:rsidRPr="00CF2377">
        <w:rPr>
          <w:color w:val="000000"/>
          <w:spacing w:val="-3"/>
          <w:szCs w:val="24"/>
          <w:u w:color="000000"/>
        </w:rPr>
        <w:t>ed</w:t>
      </w:r>
      <w:r w:rsidR="00F0266D" w:rsidRPr="00CF2377">
        <w:rPr>
          <w:color w:val="000000"/>
          <w:spacing w:val="-3"/>
          <w:szCs w:val="24"/>
          <w:u w:color="000000"/>
        </w:rPr>
        <w:t xml:space="preserve"> </w:t>
      </w:r>
      <w:r w:rsidRPr="00CF2377">
        <w:rPr>
          <w:color w:val="000000"/>
          <w:spacing w:val="-3"/>
          <w:szCs w:val="24"/>
          <w:u w:color="000000"/>
        </w:rPr>
        <w:t>to protect the public</w:t>
      </w:r>
      <w:r w:rsidR="00F0266D" w:rsidRPr="00CF2377">
        <w:rPr>
          <w:color w:val="000000"/>
          <w:spacing w:val="-3"/>
          <w:szCs w:val="24"/>
          <w:u w:color="000000"/>
        </w:rPr>
        <w:t>:</w:t>
      </w:r>
      <w:r w:rsidR="004D675B" w:rsidRPr="00CF2377">
        <w:rPr>
          <w:color w:val="000000"/>
          <w:spacing w:val="-3"/>
          <w:szCs w:val="24"/>
          <w:u w:color="000000"/>
        </w:rPr>
        <w:t xml:space="preserve"> </w:t>
      </w:r>
    </w:p>
    <w:p w:rsidR="00562B4B" w:rsidRPr="00CF2377" w:rsidRDefault="00562B4B" w:rsidP="00562B4B">
      <w:pPr>
        <w:pStyle w:val="BlockQuote"/>
        <w:rPr>
          <w:color w:val="000000"/>
          <w:u w:color="000000"/>
        </w:rPr>
      </w:pPr>
      <w:r w:rsidRPr="00CF2377">
        <w:rPr>
          <w:color w:val="000000"/>
          <w:u w:color="000000"/>
        </w:rPr>
        <w:tab/>
        <w:t>THE COURT;</w:t>
      </w:r>
      <w:r w:rsidRPr="00CF2377">
        <w:rPr>
          <w:color w:val="000000"/>
          <w:u w:color="000000"/>
        </w:rPr>
        <w:tab/>
        <w:t>Sir, your record saddens me because you seem like you could have spent your life adding good things to the world and instead you’ve added to the jail population, the prison population.  And you have a family who obviously cares for you and I have wonderful letters that have been written to me about you, instead your family have become your fellow inmates.  You’re not a stupid man but you’ve done stupid things in your life that go against the safety of society and you’re telling me you haven’t had a weapon in your hands but yet other people would not have been prosecuted had they killed you.</w:t>
      </w:r>
    </w:p>
    <w:p w:rsidR="00562B4B" w:rsidRPr="00CF2377" w:rsidRDefault="00562B4B" w:rsidP="00562B4B">
      <w:pPr>
        <w:pStyle w:val="BlockQuote"/>
        <w:rPr>
          <w:color w:val="000000"/>
          <w:u w:color="000000"/>
        </w:rPr>
      </w:pPr>
    </w:p>
    <w:p w:rsidR="00562B4B" w:rsidRPr="00CF2377" w:rsidRDefault="00562B4B" w:rsidP="00562B4B">
      <w:pPr>
        <w:pStyle w:val="BlockQuote"/>
        <w:rPr>
          <w:color w:val="000000"/>
          <w:u w:color="000000"/>
        </w:rPr>
      </w:pPr>
      <w:r w:rsidRPr="00CF2377">
        <w:rPr>
          <w:color w:val="000000"/>
          <w:u w:color="000000"/>
        </w:rPr>
        <w:tab/>
        <w:t>THE DEFENDANT:</w:t>
      </w:r>
      <w:r w:rsidRPr="00CF2377">
        <w:rPr>
          <w:color w:val="000000"/>
          <w:u w:color="000000"/>
        </w:rPr>
        <w:tab/>
        <w:t>Yes, ma’am.</w:t>
      </w:r>
    </w:p>
    <w:p w:rsidR="00562B4B" w:rsidRPr="00CF2377" w:rsidRDefault="00562B4B" w:rsidP="00562B4B">
      <w:pPr>
        <w:pStyle w:val="BlockQuote"/>
        <w:rPr>
          <w:color w:val="000000"/>
          <w:u w:color="000000"/>
        </w:rPr>
      </w:pPr>
    </w:p>
    <w:p w:rsidR="00562B4B" w:rsidRPr="00CF2377" w:rsidRDefault="00562B4B" w:rsidP="00562B4B">
      <w:pPr>
        <w:pStyle w:val="BlockQuote"/>
        <w:rPr>
          <w:color w:val="000000"/>
          <w:u w:color="000000"/>
        </w:rPr>
      </w:pPr>
      <w:r w:rsidRPr="00CF2377">
        <w:rPr>
          <w:color w:val="000000"/>
          <w:u w:color="000000"/>
        </w:rPr>
        <w:tab/>
        <w:t>THE COURT:</w:t>
      </w:r>
      <w:r w:rsidRPr="00CF2377">
        <w:rPr>
          <w:color w:val="000000"/>
          <w:u w:color="000000"/>
        </w:rPr>
        <w:tab/>
        <w:t>You put your own safety and life at risk for a few measly dollars because you acted like you had a weapon.  Officers could have come in and they are trained to shoot to kill because of your behavior.</w:t>
      </w:r>
    </w:p>
    <w:p w:rsidR="00562B4B" w:rsidRPr="00CF2377" w:rsidRDefault="00562B4B" w:rsidP="00562B4B">
      <w:pPr>
        <w:pStyle w:val="BlockQuote"/>
        <w:rPr>
          <w:color w:val="000000"/>
          <w:u w:color="000000"/>
        </w:rPr>
      </w:pPr>
    </w:p>
    <w:p w:rsidR="00562B4B" w:rsidRPr="00CF2377" w:rsidRDefault="00562B4B" w:rsidP="00562B4B">
      <w:pPr>
        <w:pStyle w:val="BlockQuote"/>
        <w:rPr>
          <w:color w:val="000000"/>
          <w:u w:color="000000"/>
        </w:rPr>
      </w:pPr>
      <w:r w:rsidRPr="00CF2377">
        <w:rPr>
          <w:color w:val="000000"/>
          <w:u w:color="000000"/>
        </w:rPr>
        <w:tab/>
        <w:t>THE DEFENDANT:</w:t>
      </w:r>
      <w:r w:rsidRPr="00CF2377">
        <w:rPr>
          <w:color w:val="000000"/>
          <w:u w:color="000000"/>
        </w:rPr>
        <w:tab/>
        <w:t>Yes, ma’am.</w:t>
      </w:r>
    </w:p>
    <w:p w:rsidR="00562B4B" w:rsidRPr="00CF2377" w:rsidRDefault="00562B4B" w:rsidP="00562B4B">
      <w:pPr>
        <w:pStyle w:val="BlockQuote"/>
        <w:rPr>
          <w:color w:val="000000"/>
          <w:u w:color="000000"/>
        </w:rPr>
      </w:pPr>
    </w:p>
    <w:p w:rsidR="00562B4B" w:rsidRPr="00CF2377" w:rsidRDefault="00562B4B" w:rsidP="00562B4B">
      <w:pPr>
        <w:pStyle w:val="BlockQuote"/>
        <w:rPr>
          <w:color w:val="000000"/>
          <w:u w:color="000000"/>
        </w:rPr>
      </w:pPr>
      <w:r w:rsidRPr="00CF2377">
        <w:rPr>
          <w:color w:val="000000"/>
          <w:u w:color="000000"/>
        </w:rPr>
        <w:tab/>
        <w:t>THE COURT:</w:t>
      </w:r>
      <w:r w:rsidRPr="00CF2377">
        <w:rPr>
          <w:color w:val="000000"/>
          <w:u w:color="000000"/>
        </w:rPr>
        <w:tab/>
        <w:t>So your actions speak louder than your words.  You placed other people in fear of their own lives.  They didn’t know you didn’t have a weapon, that’s why the laws are written, public safety, sir, and our society is not safe with you out there.  If I were to say that’s okay and let you free and go home, you would do it again no question in my mind.  So I can’t even do that even if I were to say okay you get another chance with saddens me because I look at you and I say well you’re not the worst criminal I’ve had No.[sic] front of me but you’ve made some of the dumbest choices I’ve seen and you’ve ruined your life and the lives of your family who love you.  I’m sorry for that, sir, but now I have a job to do and that is to protect the public.</w:t>
      </w:r>
    </w:p>
    <w:p w:rsidR="00562B4B" w:rsidRPr="00CF2377" w:rsidRDefault="00562B4B" w:rsidP="00562B4B">
      <w:pPr>
        <w:pStyle w:val="BlockQuote"/>
        <w:rPr>
          <w:color w:val="000000"/>
          <w:u w:color="000000"/>
        </w:rPr>
      </w:pPr>
    </w:p>
    <w:p w:rsidR="00562B4B" w:rsidRPr="00CF2377" w:rsidRDefault="00562B4B" w:rsidP="00562B4B">
      <w:pPr>
        <w:pStyle w:val="BlockQuote"/>
        <w:rPr>
          <w:color w:val="000000"/>
          <w:u w:color="000000"/>
        </w:rPr>
      </w:pPr>
      <w:r w:rsidRPr="00CF2377">
        <w:rPr>
          <w:color w:val="000000"/>
          <w:u w:color="000000"/>
        </w:rPr>
        <w:tab/>
        <w:t>You are sentenced to the Michigan Department of Corrections for a period of 204 months to 300 months with credit for 48 days served.  Sir, 204 months is 17 years to 300 months with credit for 48 days served.  [3/25/15 T 7-8.]</w:t>
      </w:r>
    </w:p>
    <w:p w:rsidR="00562B4B" w:rsidRPr="00CF2377" w:rsidRDefault="00562B4B" w:rsidP="00562B4B">
      <w:pPr>
        <w:pStyle w:val="BlockQuote"/>
        <w:rPr>
          <w:color w:val="000000"/>
          <w:u w:color="000000"/>
        </w:rPr>
      </w:pPr>
    </w:p>
    <w:p w:rsidR="00562B4B" w:rsidRPr="00CF2377" w:rsidRDefault="00B433B5" w:rsidP="008A30B0">
      <w:pPr>
        <w:pStyle w:val="NormalDoubleSpace"/>
        <w:jc w:val="both"/>
        <w:rPr>
          <w:color w:val="000000"/>
          <w:u w:color="000000"/>
        </w:rPr>
      </w:pPr>
      <w:r w:rsidRPr="00CF2377">
        <w:rPr>
          <w:color w:val="000000"/>
          <w:u w:color="000000"/>
        </w:rPr>
        <w:tab/>
      </w:r>
      <w:r w:rsidR="004D675B" w:rsidRPr="00CF2377">
        <w:rPr>
          <w:color w:val="000000"/>
          <w:u w:color="000000"/>
        </w:rPr>
        <w:t xml:space="preserve">Defense counsel made </w:t>
      </w:r>
      <w:r w:rsidR="00F0266D" w:rsidRPr="00CF2377">
        <w:rPr>
          <w:color w:val="000000"/>
          <w:u w:color="000000"/>
        </w:rPr>
        <w:t>a number of</w:t>
      </w:r>
      <w:r w:rsidR="004D675B" w:rsidRPr="00CF2377">
        <w:rPr>
          <w:color w:val="000000"/>
          <w:u w:color="000000"/>
        </w:rPr>
        <w:t xml:space="preserve"> salient points </w:t>
      </w:r>
      <w:r w:rsidR="00F0266D" w:rsidRPr="00CF2377">
        <w:rPr>
          <w:color w:val="000000"/>
          <w:u w:color="000000"/>
        </w:rPr>
        <w:t xml:space="preserve">in his allocution on behalf of Mr. </w:t>
      </w:r>
      <w:r w:rsidR="003629D0">
        <w:rPr>
          <w:color w:val="000000"/>
          <w:u w:color="000000"/>
        </w:rPr>
        <w:t>Defendant</w:t>
      </w:r>
      <w:r w:rsidR="00F0266D" w:rsidRPr="00CF2377">
        <w:rPr>
          <w:color w:val="000000"/>
          <w:u w:color="000000"/>
        </w:rPr>
        <w:t xml:space="preserve">.  Counsel pointed out that Mr. </w:t>
      </w:r>
      <w:r w:rsidR="003629D0">
        <w:rPr>
          <w:color w:val="000000"/>
          <w:u w:color="000000"/>
        </w:rPr>
        <w:t>Defendant</w:t>
      </w:r>
      <w:r w:rsidR="004D675B" w:rsidRPr="00CF2377">
        <w:rPr>
          <w:color w:val="000000"/>
          <w:u w:color="000000"/>
        </w:rPr>
        <w:t xml:space="preserve"> was 49 years old, had spent the last 10 years “conforming his conduct to the requirements of the law,” had failed to appear for sentencing due to his concern for an ailing mother, and had committed an “armed” robbery</w:t>
      </w:r>
      <w:r w:rsidR="00E771D3" w:rsidRPr="00CF2377">
        <w:rPr>
          <w:color w:val="000000"/>
          <w:u w:color="000000"/>
        </w:rPr>
        <w:t xml:space="preserve"> </w:t>
      </w:r>
      <w:r w:rsidR="004D675B" w:rsidRPr="00CF2377">
        <w:rPr>
          <w:color w:val="000000"/>
          <w:u w:color="000000"/>
        </w:rPr>
        <w:t>that involved the mere simulation of a gun:</w:t>
      </w:r>
    </w:p>
    <w:p w:rsidR="004D675B" w:rsidRPr="00CF2377" w:rsidRDefault="004D675B" w:rsidP="004D675B">
      <w:pPr>
        <w:pStyle w:val="BlockQuote"/>
        <w:rPr>
          <w:color w:val="000000"/>
          <w:u w:color="000000"/>
        </w:rPr>
      </w:pPr>
      <w:r w:rsidRPr="00CF2377">
        <w:rPr>
          <w:color w:val="000000"/>
          <w:u w:color="000000"/>
        </w:rPr>
        <w:tab/>
        <w:t>[DEFENSE COUNSEL:]</w:t>
      </w:r>
      <w:r w:rsidRPr="00CF2377">
        <w:rPr>
          <w:color w:val="000000"/>
          <w:u w:color="000000"/>
        </w:rPr>
        <w:tab/>
        <w:t xml:space="preserve">Mr. </w:t>
      </w:r>
      <w:r w:rsidR="003629D0">
        <w:rPr>
          <w:color w:val="000000"/>
          <w:u w:color="000000"/>
        </w:rPr>
        <w:t>Defendant</w:t>
      </w:r>
      <w:r w:rsidRPr="00CF2377">
        <w:rPr>
          <w:color w:val="000000"/>
          <w:u w:color="000000"/>
        </w:rPr>
        <w:t xml:space="preserve"> is 49 years old.  He does have a number of criminal convictions, felonies and misdemeanors.  He has however spent the last 10 years confined – conforming his conduct to the requirements of the law [after release from prison].  </w:t>
      </w:r>
    </w:p>
    <w:p w:rsidR="004D675B" w:rsidRPr="00CF2377" w:rsidRDefault="004D675B" w:rsidP="004D675B">
      <w:pPr>
        <w:pStyle w:val="BlockQuote"/>
        <w:rPr>
          <w:color w:val="000000"/>
          <w:u w:color="000000"/>
        </w:rPr>
      </w:pPr>
    </w:p>
    <w:p w:rsidR="004D675B" w:rsidRPr="00CF2377" w:rsidRDefault="004D675B" w:rsidP="004D675B">
      <w:pPr>
        <w:pStyle w:val="BlockQuote"/>
        <w:rPr>
          <w:color w:val="000000"/>
          <w:u w:color="000000"/>
        </w:rPr>
      </w:pPr>
      <w:r w:rsidRPr="00CF2377">
        <w:rPr>
          <w:color w:val="000000"/>
          <w:u w:color="000000"/>
        </w:rPr>
        <w:tab/>
        <w:t xml:space="preserve">He did fail to appear for sentencing, he has a sick mom, it’s his, you know, he was wrong, that’s only another 45 more days, you shouldn’t add another 10 to 15 years.  He’s already spent 16 years in the Department of Corrections, he knows the drill.  This last armed robbery was – it was done without a weapon, he was pretending to have a weapon if that’s any kind of a  mitigating factor with your Honor.  I’d ask the Court to sentence Mr. </w:t>
      </w:r>
      <w:r w:rsidR="003629D0">
        <w:rPr>
          <w:color w:val="000000"/>
          <w:u w:color="000000"/>
        </w:rPr>
        <w:t>Defendant</w:t>
      </w:r>
      <w:r w:rsidRPr="00CF2377">
        <w:rPr>
          <w:color w:val="000000"/>
          <w:u w:color="000000"/>
        </w:rPr>
        <w:t xml:space="preserve"> to the low part of the guidelines of 108 months. [3/25/15 T 5-6.]</w:t>
      </w:r>
    </w:p>
    <w:p w:rsidR="004D675B" w:rsidRPr="00CF2377" w:rsidRDefault="004D675B" w:rsidP="004D675B">
      <w:pPr>
        <w:pStyle w:val="BlockQuote"/>
        <w:rPr>
          <w:color w:val="000000"/>
          <w:u w:color="000000"/>
        </w:rPr>
      </w:pPr>
    </w:p>
    <w:p w:rsidR="008F1CF4" w:rsidRPr="00CF2377" w:rsidRDefault="00187083" w:rsidP="008A30B0">
      <w:pPr>
        <w:pStyle w:val="NormalDoubleSpace"/>
        <w:ind w:firstLine="720"/>
        <w:jc w:val="both"/>
        <w:rPr>
          <w:color w:val="000000"/>
          <w:u w:color="000000"/>
        </w:rPr>
      </w:pPr>
      <w:r w:rsidRPr="00CF2377">
        <w:rPr>
          <w:color w:val="000000"/>
          <w:u w:color="000000"/>
        </w:rPr>
        <w:lastRenderedPageBreak/>
        <w:t xml:space="preserve">As defense counsel correctly noted, Mr. </w:t>
      </w:r>
      <w:r w:rsidR="003629D0">
        <w:rPr>
          <w:color w:val="000000"/>
          <w:u w:color="000000"/>
        </w:rPr>
        <w:t>Defendant</w:t>
      </w:r>
      <w:r w:rsidRPr="00CF2377">
        <w:rPr>
          <w:color w:val="000000"/>
          <w:u w:color="000000"/>
        </w:rPr>
        <w:t xml:space="preserve"> was 49 years old and had served </w:t>
      </w:r>
      <w:r w:rsidR="00F0266D" w:rsidRPr="00CF2377">
        <w:rPr>
          <w:color w:val="000000"/>
          <w:u w:color="000000"/>
        </w:rPr>
        <w:t>previous prison terms</w:t>
      </w:r>
      <w:r w:rsidRPr="00CF2377">
        <w:rPr>
          <w:color w:val="000000"/>
          <w:u w:color="000000"/>
        </w:rPr>
        <w:t xml:space="preserve"> for armed robbery and assault with intent to rob armed</w:t>
      </w:r>
      <w:r w:rsidR="00F0266D" w:rsidRPr="00CF2377">
        <w:rPr>
          <w:color w:val="000000"/>
          <w:u w:color="000000"/>
        </w:rPr>
        <w:t xml:space="preserve"> (and malicious destruction of property over $100) for</w:t>
      </w:r>
      <w:r w:rsidR="004D452B" w:rsidRPr="00CF2377">
        <w:rPr>
          <w:color w:val="000000"/>
          <w:u w:color="000000"/>
        </w:rPr>
        <w:t xml:space="preserve"> crimes</w:t>
      </w:r>
      <w:r w:rsidRPr="00CF2377">
        <w:rPr>
          <w:color w:val="000000"/>
          <w:u w:color="000000"/>
        </w:rPr>
        <w:t xml:space="preserve"> that occurred in </w:t>
      </w:r>
      <w:r w:rsidR="00F0266D" w:rsidRPr="00CF2377">
        <w:rPr>
          <w:color w:val="000000"/>
          <w:u w:color="000000"/>
        </w:rPr>
        <w:t xml:space="preserve">1986 (malicious destruction) and late 1989 through early1990 (robbery and </w:t>
      </w:r>
      <w:r w:rsidR="00642E5F" w:rsidRPr="00CF2377">
        <w:rPr>
          <w:color w:val="000000"/>
          <w:u w:color="000000"/>
        </w:rPr>
        <w:t xml:space="preserve">also </w:t>
      </w:r>
      <w:r w:rsidR="00F0266D" w:rsidRPr="00CF2377">
        <w:rPr>
          <w:color w:val="000000"/>
          <w:u w:color="000000"/>
        </w:rPr>
        <w:t>assault with intent to rob)</w:t>
      </w:r>
      <w:r w:rsidR="004D452B" w:rsidRPr="00CF2377">
        <w:rPr>
          <w:color w:val="000000"/>
          <w:u w:color="000000"/>
        </w:rPr>
        <w:t xml:space="preserve">.  </w:t>
      </w:r>
      <w:r w:rsidR="00F0266D" w:rsidRPr="00CF2377">
        <w:rPr>
          <w:color w:val="000000"/>
          <w:u w:color="000000"/>
        </w:rPr>
        <w:t xml:space="preserve">Mr. </w:t>
      </w:r>
      <w:r w:rsidR="003629D0">
        <w:rPr>
          <w:color w:val="000000"/>
          <w:u w:color="000000"/>
        </w:rPr>
        <w:t>Defendant</w:t>
      </w:r>
      <w:r w:rsidR="00F0266D" w:rsidRPr="00CF2377">
        <w:rPr>
          <w:color w:val="000000"/>
          <w:u w:color="000000"/>
        </w:rPr>
        <w:t xml:space="preserve"> </w:t>
      </w:r>
      <w:r w:rsidR="004D452B" w:rsidRPr="00CF2377">
        <w:rPr>
          <w:color w:val="000000"/>
          <w:u w:color="000000"/>
        </w:rPr>
        <w:t>finished</w:t>
      </w:r>
      <w:r w:rsidRPr="00CF2377">
        <w:rPr>
          <w:color w:val="000000"/>
          <w:u w:color="000000"/>
        </w:rPr>
        <w:t xml:space="preserve"> those sentences in 2005. (PSI 5-6).  For the past ten years, and with the exception of two misdemeanor convictions, one for retail fraud third-degree and one for driving with a suspended license, Mr. </w:t>
      </w:r>
      <w:r w:rsidR="003629D0">
        <w:rPr>
          <w:color w:val="000000"/>
          <w:u w:color="000000"/>
        </w:rPr>
        <w:t>Defendant</w:t>
      </w:r>
      <w:r w:rsidRPr="00CF2377">
        <w:rPr>
          <w:color w:val="000000"/>
          <w:u w:color="000000"/>
        </w:rPr>
        <w:t xml:space="preserve"> </w:t>
      </w:r>
      <w:r w:rsidR="008F1CF4" w:rsidRPr="00CF2377">
        <w:rPr>
          <w:color w:val="000000"/>
          <w:u w:color="000000"/>
        </w:rPr>
        <w:t xml:space="preserve">remained crime free and </w:t>
      </w:r>
      <w:r w:rsidRPr="00CF2377">
        <w:rPr>
          <w:color w:val="000000"/>
          <w:u w:color="000000"/>
        </w:rPr>
        <w:t xml:space="preserve">managed to conform his behavior to the requirements of the law. (PSI 6) </w:t>
      </w:r>
    </w:p>
    <w:p w:rsidR="004D452B" w:rsidRPr="00CF2377" w:rsidRDefault="008F1CF4" w:rsidP="008A30B0">
      <w:pPr>
        <w:pStyle w:val="NormalDoubleSpace"/>
        <w:ind w:firstLine="720"/>
        <w:jc w:val="both"/>
        <w:rPr>
          <w:color w:val="000000"/>
          <w:u w:color="000000"/>
        </w:rPr>
      </w:pPr>
      <w:r w:rsidRPr="00CF2377">
        <w:rPr>
          <w:color w:val="000000"/>
          <w:u w:color="000000"/>
        </w:rPr>
        <w:t>As defense counsel implied, o</w:t>
      </w:r>
      <w:r w:rsidR="00187083" w:rsidRPr="00CF2377">
        <w:rPr>
          <w:color w:val="000000"/>
          <w:u w:color="000000"/>
        </w:rPr>
        <w:t xml:space="preserve">ne would </w:t>
      </w:r>
      <w:r w:rsidR="00187083" w:rsidRPr="00CF2377">
        <w:rPr>
          <w:i/>
          <w:color w:val="000000"/>
          <w:u w:color="000000"/>
        </w:rPr>
        <w:t>not</w:t>
      </w:r>
      <w:r w:rsidR="00187083" w:rsidRPr="00CF2377">
        <w:rPr>
          <w:color w:val="000000"/>
          <w:u w:color="000000"/>
        </w:rPr>
        <w:t xml:space="preserve"> have expected a long period of </w:t>
      </w:r>
      <w:r w:rsidRPr="00CF2377">
        <w:rPr>
          <w:color w:val="000000"/>
          <w:u w:color="000000"/>
        </w:rPr>
        <w:t>good behavior from this offender, especially given his</w:t>
      </w:r>
      <w:r w:rsidR="00187083" w:rsidRPr="00CF2377">
        <w:rPr>
          <w:color w:val="000000"/>
          <w:u w:color="000000"/>
        </w:rPr>
        <w:t xml:space="preserve"> earlier juvenile adjudication for larceny from a person (1980), and earlier adult convictions for illegal entry</w:t>
      </w:r>
      <w:r w:rsidR="004D452B" w:rsidRPr="00CF2377">
        <w:rPr>
          <w:color w:val="000000"/>
          <w:u w:color="000000"/>
        </w:rPr>
        <w:t xml:space="preserve"> (1986)</w:t>
      </w:r>
      <w:r w:rsidR="00187083" w:rsidRPr="00CF2377">
        <w:rPr>
          <w:color w:val="000000"/>
          <w:u w:color="000000"/>
        </w:rPr>
        <w:t>, obstructing by disguise</w:t>
      </w:r>
      <w:r w:rsidR="004D452B" w:rsidRPr="00CF2377">
        <w:rPr>
          <w:color w:val="000000"/>
          <w:u w:color="000000"/>
        </w:rPr>
        <w:t xml:space="preserve"> (1984, 1986)</w:t>
      </w:r>
      <w:r w:rsidR="00187083" w:rsidRPr="00CF2377">
        <w:rPr>
          <w:color w:val="000000"/>
          <w:u w:color="000000"/>
        </w:rPr>
        <w:t xml:space="preserve">, larceny </w:t>
      </w:r>
      <w:r w:rsidR="004D452B" w:rsidRPr="00CF2377">
        <w:rPr>
          <w:color w:val="000000"/>
          <w:u w:color="000000"/>
        </w:rPr>
        <w:t xml:space="preserve">over and </w:t>
      </w:r>
      <w:r w:rsidR="00187083" w:rsidRPr="00CF2377">
        <w:rPr>
          <w:color w:val="000000"/>
          <w:u w:color="000000"/>
        </w:rPr>
        <w:t>under</w:t>
      </w:r>
      <w:r w:rsidR="004D452B" w:rsidRPr="00CF2377">
        <w:rPr>
          <w:color w:val="000000"/>
          <w:u w:color="000000"/>
        </w:rPr>
        <w:t xml:space="preserve"> $100 (1984, 1985), felonious assault (1985), and malicious destruction of property over $100 (1986). (PSI 3-4)  Yet Mr. </w:t>
      </w:r>
      <w:r w:rsidR="003629D0">
        <w:rPr>
          <w:color w:val="000000"/>
          <w:u w:color="000000"/>
        </w:rPr>
        <w:t>Defendant</w:t>
      </w:r>
      <w:r w:rsidR="004D452B" w:rsidRPr="00CF2377">
        <w:rPr>
          <w:color w:val="000000"/>
          <w:u w:color="000000"/>
        </w:rPr>
        <w:t xml:space="preserve"> found </w:t>
      </w:r>
      <w:r w:rsidRPr="00CF2377">
        <w:rPr>
          <w:color w:val="000000"/>
          <w:u w:color="000000"/>
        </w:rPr>
        <w:t>the ability or self-discipline</w:t>
      </w:r>
      <w:r w:rsidR="004D452B" w:rsidRPr="00CF2377">
        <w:rPr>
          <w:color w:val="000000"/>
          <w:u w:color="000000"/>
        </w:rPr>
        <w:t xml:space="preserve"> to live a relatively crime-free life for</w:t>
      </w:r>
      <w:r w:rsidRPr="00CF2377">
        <w:rPr>
          <w:color w:val="000000"/>
          <w:u w:color="000000"/>
        </w:rPr>
        <w:t xml:space="preserve"> the past</w:t>
      </w:r>
      <w:r w:rsidR="004D452B" w:rsidRPr="00CF2377">
        <w:rPr>
          <w:color w:val="000000"/>
          <w:u w:color="000000"/>
        </w:rPr>
        <w:t xml:space="preserve"> 10 years.</w:t>
      </w:r>
    </w:p>
    <w:p w:rsidR="008F1CF4" w:rsidRPr="00CF2377" w:rsidRDefault="008F1CF4" w:rsidP="008A30B0">
      <w:pPr>
        <w:pStyle w:val="NormalDoubleSpace"/>
        <w:ind w:firstLine="720"/>
        <w:jc w:val="both"/>
        <w:rPr>
          <w:color w:val="000000"/>
          <w:u w:color="000000"/>
        </w:rPr>
      </w:pPr>
      <w:r w:rsidRPr="00CF2377">
        <w:rPr>
          <w:color w:val="000000"/>
          <w:u w:color="000000"/>
        </w:rPr>
        <w:t xml:space="preserve">The instant offense, while </w:t>
      </w:r>
      <w:r w:rsidR="00642E5F" w:rsidRPr="00CF2377">
        <w:rPr>
          <w:color w:val="000000"/>
          <w:u w:color="000000"/>
        </w:rPr>
        <w:t>alarming</w:t>
      </w:r>
      <w:r w:rsidRPr="00CF2377">
        <w:rPr>
          <w:color w:val="000000"/>
          <w:u w:color="000000"/>
        </w:rPr>
        <w:t xml:space="preserve"> </w:t>
      </w:r>
      <w:r w:rsidR="004B18F4" w:rsidRPr="00CF2377">
        <w:rPr>
          <w:color w:val="000000"/>
          <w:u w:color="000000"/>
        </w:rPr>
        <w:t>to</w:t>
      </w:r>
      <w:r w:rsidRPr="00CF2377">
        <w:rPr>
          <w:color w:val="000000"/>
          <w:u w:color="000000"/>
        </w:rPr>
        <w:t xml:space="preserve"> the victim, was one of the less</w:t>
      </w:r>
      <w:r w:rsidR="004B18F4" w:rsidRPr="00CF2377">
        <w:rPr>
          <w:color w:val="000000"/>
          <w:u w:color="000000"/>
        </w:rPr>
        <w:t>er</w:t>
      </w:r>
      <w:r w:rsidRPr="00CF2377">
        <w:rPr>
          <w:color w:val="000000"/>
          <w:u w:color="000000"/>
        </w:rPr>
        <w:t xml:space="preserve"> forms of armed robbery</w:t>
      </w:r>
      <w:r w:rsidR="004D452B" w:rsidRPr="00CF2377">
        <w:rPr>
          <w:color w:val="000000"/>
          <w:u w:color="000000"/>
        </w:rPr>
        <w:t>.</w:t>
      </w:r>
      <w:r w:rsidRPr="00CF2377">
        <w:rPr>
          <w:color w:val="000000"/>
          <w:u w:color="000000"/>
        </w:rPr>
        <w:t xml:space="preserve">  According to the presentence report, Mr. </w:t>
      </w:r>
      <w:r w:rsidR="003629D0">
        <w:rPr>
          <w:color w:val="000000"/>
          <w:u w:color="000000"/>
        </w:rPr>
        <w:t>Defendant</w:t>
      </w:r>
      <w:r w:rsidRPr="00CF2377">
        <w:rPr>
          <w:color w:val="000000"/>
          <w:u w:color="000000"/>
        </w:rPr>
        <w:t xml:space="preserve"> robbed a Speedway clerk of approximately $175 using his hand in his pocket and within injury to the victim:</w:t>
      </w:r>
    </w:p>
    <w:p w:rsidR="008F1CF4" w:rsidRPr="00CF2377" w:rsidRDefault="008F1CF4" w:rsidP="008F1CF4">
      <w:pPr>
        <w:pStyle w:val="BlockQuote"/>
        <w:rPr>
          <w:b/>
          <w:color w:val="000000"/>
          <w:u w:color="000000"/>
        </w:rPr>
      </w:pPr>
      <w:r w:rsidRPr="00CF2377">
        <w:rPr>
          <w:b/>
          <w:color w:val="000000"/>
          <w:u w:color="000000"/>
        </w:rPr>
        <w:t>Agent’s Description of the Offense</w:t>
      </w:r>
    </w:p>
    <w:p w:rsidR="008F1CF4" w:rsidRPr="00CF2377" w:rsidRDefault="008F1CF4" w:rsidP="008F1CF4">
      <w:pPr>
        <w:pStyle w:val="BlockQuote"/>
        <w:rPr>
          <w:b/>
          <w:color w:val="000000"/>
          <w:u w:color="000000"/>
        </w:rPr>
      </w:pPr>
    </w:p>
    <w:p w:rsidR="008F1CF4" w:rsidRPr="00CF2377" w:rsidRDefault="008F1CF4" w:rsidP="008F1CF4">
      <w:pPr>
        <w:pStyle w:val="BlockQuote"/>
        <w:rPr>
          <w:color w:val="000000"/>
          <w:u w:color="000000"/>
        </w:rPr>
      </w:pPr>
      <w:r w:rsidRPr="00CF2377">
        <w:rPr>
          <w:color w:val="000000"/>
          <w:u w:color="000000"/>
        </w:rPr>
        <w:t>The following info was obtained from the Lansing Police Department incident report #LLA1401160000434.</w:t>
      </w:r>
    </w:p>
    <w:p w:rsidR="008F1CF4" w:rsidRPr="00CF2377" w:rsidRDefault="008F1CF4" w:rsidP="008F1CF4">
      <w:pPr>
        <w:pStyle w:val="BlockQuote"/>
        <w:rPr>
          <w:color w:val="000000"/>
          <w:u w:color="000000"/>
        </w:rPr>
      </w:pPr>
    </w:p>
    <w:p w:rsidR="004D675B" w:rsidRPr="00CF2377" w:rsidRDefault="008F1CF4" w:rsidP="008F1CF4">
      <w:pPr>
        <w:pStyle w:val="BlockQuote"/>
        <w:rPr>
          <w:color w:val="000000"/>
          <w:u w:color="000000"/>
        </w:rPr>
      </w:pPr>
      <w:r w:rsidRPr="00CF2377">
        <w:rPr>
          <w:color w:val="000000"/>
          <w:u w:color="000000"/>
        </w:rPr>
        <w:t xml:space="preserve"> On 1/16/14, Officers from the Lansing Police Department were dispatched to 1923 E. Michigan Ave, located in the City of Lansing, County of Ingham.  Police made contact with Joseph Sump (Victim).  Sump stated that he was over near one of the coolers when a subject cam in the store.  Sump stated that he walked over to the counter and asked the subject if he needed anything.  Sump said that the Defendant walked behind the counter with his right hand in his </w:t>
      </w:r>
      <w:r w:rsidRPr="00CF2377">
        <w:rPr>
          <w:color w:val="000000"/>
          <w:u w:color="000000"/>
        </w:rPr>
        <w:lastRenderedPageBreak/>
        <w:t>pocket and said “</w:t>
      </w:r>
      <w:r w:rsidRPr="00CF2377">
        <w:rPr>
          <w:i/>
          <w:color w:val="000000"/>
          <w:u w:color="000000"/>
        </w:rPr>
        <w:t>give me all the money, I’m not playing</w:t>
      </w:r>
      <w:r w:rsidRPr="00CF2377">
        <w:rPr>
          <w:color w:val="000000"/>
          <w:u w:color="000000"/>
        </w:rPr>
        <w:t>’.  Sump further stated that the subject told him that he had a gun and called him a “</w:t>
      </w:r>
      <w:r w:rsidRPr="00CF2377">
        <w:rPr>
          <w:i/>
          <w:color w:val="000000"/>
          <w:u w:color="000000"/>
        </w:rPr>
        <w:t>bitch</w:t>
      </w:r>
      <w:r w:rsidRPr="00CF2377">
        <w:rPr>
          <w:color w:val="000000"/>
          <w:u w:color="000000"/>
        </w:rPr>
        <w:t>”.  Sump handed the money from the cash register to the subject.  Sump stated that the subject told him to open the other register, but Sump stated that he was not able to.  The subject made the victim lie on the floor and Sump laid on the floor and waited for the subject to leave.</w:t>
      </w:r>
    </w:p>
    <w:p w:rsidR="008F1CF4" w:rsidRPr="00CF2377" w:rsidRDefault="008F1CF4" w:rsidP="008F1CF4">
      <w:pPr>
        <w:pStyle w:val="BlockQuote"/>
        <w:rPr>
          <w:color w:val="000000"/>
          <w:u w:color="000000"/>
        </w:rPr>
      </w:pPr>
    </w:p>
    <w:p w:rsidR="008F1CF4" w:rsidRPr="00CF2377" w:rsidRDefault="008F1CF4" w:rsidP="008F1CF4">
      <w:pPr>
        <w:pStyle w:val="BlockQuote"/>
        <w:rPr>
          <w:color w:val="000000"/>
          <w:u w:color="000000"/>
        </w:rPr>
      </w:pPr>
      <w:r w:rsidRPr="00CF2377">
        <w:rPr>
          <w:color w:val="000000"/>
          <w:u w:color="000000"/>
        </w:rPr>
        <w:t xml:space="preserve">On 1/30/14, Lansing Detectives received a tip advising them that the Speedway robber was a person by the name of </w:t>
      </w:r>
      <w:r w:rsidR="003629D0">
        <w:rPr>
          <w:color w:val="000000"/>
          <w:u w:color="000000"/>
        </w:rPr>
        <w:t xml:space="preserve"> </w:t>
      </w:r>
      <w:r w:rsidRPr="00CF2377">
        <w:rPr>
          <w:color w:val="000000"/>
          <w:u w:color="000000"/>
        </w:rPr>
        <w:t xml:space="preserve"> </w:t>
      </w:r>
      <w:r w:rsidR="003629D0">
        <w:rPr>
          <w:color w:val="000000"/>
          <w:u w:color="000000"/>
        </w:rPr>
        <w:t>Defendant</w:t>
      </w:r>
      <w:r w:rsidRPr="00CF2377">
        <w:rPr>
          <w:color w:val="000000"/>
          <w:u w:color="000000"/>
        </w:rPr>
        <w:t xml:space="preserve">.  Upon questioning the defendants former girlfriend, police were able to positively identify the Defendant, </w:t>
      </w:r>
      <w:r w:rsidR="003629D0">
        <w:rPr>
          <w:color w:val="000000"/>
          <w:u w:color="000000"/>
        </w:rPr>
        <w:t xml:space="preserve"> </w:t>
      </w:r>
      <w:r w:rsidRPr="00CF2377">
        <w:rPr>
          <w:color w:val="000000"/>
          <w:u w:color="000000"/>
        </w:rPr>
        <w:t xml:space="preserve"> Allen </w:t>
      </w:r>
      <w:r w:rsidR="003629D0">
        <w:rPr>
          <w:color w:val="000000"/>
          <w:u w:color="000000"/>
        </w:rPr>
        <w:t>Defendant</w:t>
      </w:r>
      <w:r w:rsidRPr="00CF2377">
        <w:rPr>
          <w:color w:val="000000"/>
          <w:u w:color="000000"/>
        </w:rPr>
        <w:t xml:space="preserve"> as the person that robbed the Speedway Gas Station on 01/16/14.  [PSI 2.]</w:t>
      </w:r>
    </w:p>
    <w:p w:rsidR="008F1CF4" w:rsidRPr="00CF2377" w:rsidRDefault="008F1CF4" w:rsidP="008F1CF4">
      <w:pPr>
        <w:pStyle w:val="BlockQuote"/>
        <w:rPr>
          <w:color w:val="000000"/>
          <w:u w:color="000000"/>
        </w:rPr>
      </w:pPr>
    </w:p>
    <w:p w:rsidR="00B50B7D" w:rsidRPr="00CF2377" w:rsidRDefault="00B50B7D" w:rsidP="008A30B0">
      <w:pPr>
        <w:pStyle w:val="NormalDoubleSpace"/>
        <w:jc w:val="both"/>
        <w:rPr>
          <w:color w:val="000000"/>
          <w:u w:color="000000"/>
        </w:rPr>
      </w:pPr>
      <w:r w:rsidRPr="00CF2377">
        <w:rPr>
          <w:color w:val="000000"/>
          <w:u w:color="000000"/>
        </w:rPr>
        <w:tab/>
        <w:t xml:space="preserve">During the preliminary examination, the victim testified that he </w:t>
      </w:r>
      <w:r w:rsidR="00B569A8">
        <w:rPr>
          <w:color w:val="000000"/>
          <w:u w:color="000000"/>
        </w:rPr>
        <w:t>did not see a weapon and saw</w:t>
      </w:r>
      <w:r w:rsidRPr="00CF2377">
        <w:rPr>
          <w:color w:val="000000"/>
          <w:u w:color="000000"/>
        </w:rPr>
        <w:t xml:space="preserve"> “that his arm was going into his pocket and was pointed at me.” (7/17/14</w:t>
      </w:r>
      <w:r w:rsidR="00B569A8">
        <w:rPr>
          <w:color w:val="000000"/>
          <w:u w:color="000000"/>
        </w:rPr>
        <w:t xml:space="preserve"> T 7,</w:t>
      </w:r>
      <w:r w:rsidR="004C1B77">
        <w:rPr>
          <w:color w:val="000000"/>
          <w:u w:color="000000"/>
        </w:rPr>
        <w:t xml:space="preserve"> </w:t>
      </w:r>
      <w:r w:rsidR="00B569A8">
        <w:rPr>
          <w:color w:val="000000"/>
          <w:u w:color="000000"/>
        </w:rPr>
        <w:t>12</w:t>
      </w:r>
      <w:r w:rsidRPr="00CF2377">
        <w:rPr>
          <w:color w:val="000000"/>
          <w:u w:color="000000"/>
        </w:rPr>
        <w:t>).  When asked whether he recalled “if the defendant had said anything about having a gun on that occasion,” the victim responded, “Just implied with the hand in the pocket pointed at me.” (7/17/14 T 17)</w:t>
      </w:r>
      <w:r w:rsidR="004B18F4" w:rsidRPr="00CF2377">
        <w:rPr>
          <w:rStyle w:val="FootnoteReference"/>
          <w:color w:val="000000"/>
          <w:u w:color="000000"/>
        </w:rPr>
        <w:footnoteReference w:id="3"/>
      </w:r>
    </w:p>
    <w:p w:rsidR="008F1CF4" w:rsidRPr="00CF2377" w:rsidRDefault="008F1CF4" w:rsidP="008A30B0">
      <w:pPr>
        <w:pStyle w:val="NormalDoubleSpace"/>
        <w:jc w:val="both"/>
        <w:rPr>
          <w:color w:val="000000"/>
          <w:u w:color="000000"/>
        </w:rPr>
      </w:pPr>
      <w:r w:rsidRPr="00CF2377">
        <w:rPr>
          <w:color w:val="000000"/>
          <w:u w:color="000000"/>
        </w:rPr>
        <w:tab/>
      </w:r>
      <w:r w:rsidR="00B50B7D" w:rsidRPr="00CF2377">
        <w:rPr>
          <w:color w:val="000000"/>
          <w:u w:color="000000"/>
        </w:rPr>
        <w:t>In the presentence report, it was reported that the</w:t>
      </w:r>
      <w:r w:rsidRPr="00CF2377">
        <w:rPr>
          <w:color w:val="000000"/>
          <w:u w:color="000000"/>
        </w:rPr>
        <w:t xml:space="preserve"> victim </w:t>
      </w:r>
      <w:r w:rsidR="00E84834" w:rsidRPr="00CF2377">
        <w:rPr>
          <w:color w:val="000000"/>
          <w:u w:color="000000"/>
        </w:rPr>
        <w:t>“has no statement in regards to sentencing for the Defendant and also stated he just wants to move on from the incident.” (PSI 2)</w:t>
      </w:r>
    </w:p>
    <w:p w:rsidR="004B18F4" w:rsidRPr="00CF2377" w:rsidRDefault="004B18F4" w:rsidP="008A30B0">
      <w:pPr>
        <w:pStyle w:val="NormalDoubleSpace"/>
        <w:jc w:val="both"/>
        <w:rPr>
          <w:color w:val="000000"/>
          <w:spacing w:val="-3"/>
          <w:szCs w:val="24"/>
          <w:u w:color="000000"/>
        </w:rPr>
      </w:pPr>
      <w:r w:rsidRPr="00CF2377">
        <w:rPr>
          <w:color w:val="000000"/>
          <w:spacing w:val="-3"/>
          <w:szCs w:val="24"/>
          <w:u w:color="000000"/>
        </w:rPr>
        <w:tab/>
        <w:t>As th</w:t>
      </w:r>
      <w:r w:rsidR="00B30718" w:rsidRPr="00CF2377">
        <w:rPr>
          <w:color w:val="000000"/>
          <w:spacing w:val="-3"/>
          <w:szCs w:val="24"/>
          <w:u w:color="000000"/>
        </w:rPr>
        <w:t>is</w:t>
      </w:r>
      <w:r w:rsidRPr="00CF2377">
        <w:rPr>
          <w:color w:val="000000"/>
          <w:spacing w:val="-3"/>
          <w:szCs w:val="24"/>
          <w:u w:color="000000"/>
        </w:rPr>
        <w:t xml:space="preserve"> Court can see, the instant offense involved a simulated gun, a robbery of money and no injuries to the victim.</w:t>
      </w:r>
    </w:p>
    <w:p w:rsidR="004B18F4" w:rsidRPr="00CF2377" w:rsidRDefault="004B18F4" w:rsidP="008A30B0">
      <w:pPr>
        <w:pStyle w:val="NormalDoubleSpace"/>
        <w:jc w:val="both"/>
        <w:rPr>
          <w:color w:val="000000"/>
          <w:spacing w:val="-3"/>
          <w:szCs w:val="24"/>
          <w:u w:color="000000"/>
        </w:rPr>
      </w:pPr>
      <w:r w:rsidRPr="00CF2377">
        <w:rPr>
          <w:color w:val="000000"/>
          <w:spacing w:val="-3"/>
          <w:szCs w:val="24"/>
          <w:u w:color="000000"/>
        </w:rPr>
        <w:tab/>
        <w:t xml:space="preserve">The trial judge </w:t>
      </w:r>
      <w:r w:rsidR="00B63EED" w:rsidRPr="00CF2377">
        <w:rPr>
          <w:color w:val="000000"/>
          <w:spacing w:val="-3"/>
          <w:szCs w:val="24"/>
          <w:u w:color="000000"/>
        </w:rPr>
        <w:t xml:space="preserve">seemed to </w:t>
      </w:r>
      <w:r w:rsidRPr="00CF2377">
        <w:rPr>
          <w:color w:val="000000"/>
          <w:spacing w:val="-3"/>
          <w:szCs w:val="24"/>
          <w:u w:color="000000"/>
        </w:rPr>
        <w:t xml:space="preserve">recognize the facts of the crime when she acknowledged Mr. </w:t>
      </w:r>
      <w:r w:rsidR="003629D0">
        <w:rPr>
          <w:color w:val="000000"/>
          <w:spacing w:val="-3"/>
          <w:szCs w:val="24"/>
          <w:u w:color="000000"/>
        </w:rPr>
        <w:t>Defendant</w:t>
      </w:r>
      <w:r w:rsidRPr="00CF2377">
        <w:rPr>
          <w:color w:val="000000"/>
          <w:spacing w:val="-3"/>
          <w:szCs w:val="24"/>
          <w:u w:color="000000"/>
        </w:rPr>
        <w:t xml:space="preserve"> had risked his life “for a few measly dollars [and] you acted like you had a weapon.” (3/25/15 T 7)</w:t>
      </w:r>
      <w:r w:rsidR="00B63EED" w:rsidRPr="00CF2377">
        <w:rPr>
          <w:color w:val="000000"/>
          <w:spacing w:val="-3"/>
          <w:szCs w:val="24"/>
          <w:u w:color="000000"/>
        </w:rPr>
        <w:t xml:space="preserve">  Although she acknowledged that Mr. </w:t>
      </w:r>
      <w:r w:rsidR="003629D0">
        <w:rPr>
          <w:color w:val="000000"/>
          <w:spacing w:val="-3"/>
          <w:szCs w:val="24"/>
          <w:u w:color="000000"/>
        </w:rPr>
        <w:t>Defendant</w:t>
      </w:r>
      <w:r w:rsidR="00B63EED" w:rsidRPr="00CF2377">
        <w:rPr>
          <w:color w:val="000000"/>
          <w:spacing w:val="-3"/>
          <w:szCs w:val="24"/>
          <w:u w:color="000000"/>
        </w:rPr>
        <w:t xml:space="preserve"> may have acted without a weapon, she also spoke of </w:t>
      </w:r>
      <w:r w:rsidR="00642E5F" w:rsidRPr="00CF2377">
        <w:rPr>
          <w:color w:val="000000"/>
          <w:spacing w:val="-3"/>
          <w:szCs w:val="24"/>
          <w:u w:color="000000"/>
        </w:rPr>
        <w:t xml:space="preserve">how </w:t>
      </w:r>
      <w:r w:rsidR="00B63EED" w:rsidRPr="00CF2377">
        <w:rPr>
          <w:color w:val="000000"/>
          <w:spacing w:val="-3"/>
          <w:szCs w:val="24"/>
          <w:u w:color="000000"/>
        </w:rPr>
        <w:t>his actions “placed other people in fear for this own lives.” (3/25/15 T 7, 8)</w:t>
      </w:r>
    </w:p>
    <w:p w:rsidR="00B63EED" w:rsidRPr="00CF2377" w:rsidRDefault="00B63EED" w:rsidP="008A30B0">
      <w:pPr>
        <w:pStyle w:val="NormalDoubleSpace"/>
        <w:jc w:val="both"/>
        <w:rPr>
          <w:color w:val="000000"/>
          <w:spacing w:val="-3"/>
          <w:szCs w:val="24"/>
          <w:u w:color="000000"/>
        </w:rPr>
      </w:pPr>
      <w:r w:rsidRPr="00CF2377">
        <w:rPr>
          <w:color w:val="000000"/>
          <w:spacing w:val="-3"/>
          <w:szCs w:val="24"/>
          <w:u w:color="000000"/>
        </w:rPr>
        <w:lastRenderedPageBreak/>
        <w:tab/>
        <w:t xml:space="preserve">The trial judge made conflicting comments about Mr. </w:t>
      </w:r>
      <w:r w:rsidR="003629D0">
        <w:rPr>
          <w:color w:val="000000"/>
          <w:spacing w:val="-3"/>
          <w:szCs w:val="24"/>
          <w:u w:color="000000"/>
        </w:rPr>
        <w:t>Defendant</w:t>
      </w:r>
      <w:r w:rsidRPr="00CF2377">
        <w:rPr>
          <w:color w:val="000000"/>
          <w:spacing w:val="-3"/>
          <w:szCs w:val="24"/>
          <w:u w:color="000000"/>
        </w:rPr>
        <w:t>’s prior record</w:t>
      </w:r>
      <w:r w:rsidR="00642E5F" w:rsidRPr="00CF2377">
        <w:rPr>
          <w:color w:val="000000"/>
          <w:spacing w:val="-3"/>
          <w:szCs w:val="24"/>
          <w:u w:color="000000"/>
        </w:rPr>
        <w:t xml:space="preserve"> as well</w:t>
      </w:r>
      <w:r w:rsidRPr="00CF2377">
        <w:rPr>
          <w:color w:val="000000"/>
          <w:spacing w:val="-3"/>
          <w:szCs w:val="24"/>
          <w:u w:color="000000"/>
        </w:rPr>
        <w:t>.  She spoke of</w:t>
      </w:r>
      <w:r w:rsidR="004F284C" w:rsidRPr="00CF2377">
        <w:rPr>
          <w:color w:val="000000"/>
          <w:spacing w:val="-3"/>
          <w:szCs w:val="24"/>
          <w:u w:color="000000"/>
        </w:rPr>
        <w:t xml:space="preserve"> </w:t>
      </w:r>
      <w:r w:rsidR="004B18F4" w:rsidRPr="00CF2377">
        <w:rPr>
          <w:color w:val="000000"/>
          <w:spacing w:val="-3"/>
          <w:szCs w:val="24"/>
          <w:u w:color="000000"/>
        </w:rPr>
        <w:t xml:space="preserve">how “your record saddens me” and Mr. </w:t>
      </w:r>
      <w:r w:rsidR="003629D0">
        <w:rPr>
          <w:color w:val="000000"/>
          <w:spacing w:val="-3"/>
          <w:szCs w:val="24"/>
          <w:u w:color="000000"/>
        </w:rPr>
        <w:t>Defendant</w:t>
      </w:r>
      <w:r w:rsidR="004B18F4" w:rsidRPr="00CF2377">
        <w:rPr>
          <w:color w:val="000000"/>
          <w:spacing w:val="-3"/>
          <w:szCs w:val="24"/>
          <w:u w:color="000000"/>
        </w:rPr>
        <w:t xml:space="preserve"> had done “stupid things in your life that go against the safety of society</w:t>
      </w:r>
      <w:r w:rsidRPr="00CF2377">
        <w:rPr>
          <w:color w:val="000000"/>
          <w:spacing w:val="-3"/>
          <w:szCs w:val="24"/>
          <w:u w:color="000000"/>
        </w:rPr>
        <w:t>,” but she could not say he was “the worst criminal I’ve had [in] front of me” and she thought he had made “some of the dumbest choices I’ve seen . . . .”</w:t>
      </w:r>
      <w:r w:rsidR="004B18F4" w:rsidRPr="00CF2377">
        <w:rPr>
          <w:color w:val="000000"/>
          <w:spacing w:val="-3"/>
          <w:szCs w:val="24"/>
          <w:u w:color="000000"/>
        </w:rPr>
        <w:t xml:space="preserve"> (3/25/15 T 7</w:t>
      </w:r>
      <w:r w:rsidRPr="00CF2377">
        <w:rPr>
          <w:color w:val="000000"/>
          <w:spacing w:val="-3"/>
          <w:szCs w:val="24"/>
          <w:u w:color="000000"/>
        </w:rPr>
        <w:t>, 8</w:t>
      </w:r>
      <w:r w:rsidR="004B18F4" w:rsidRPr="00CF2377">
        <w:rPr>
          <w:color w:val="000000"/>
          <w:spacing w:val="-3"/>
          <w:szCs w:val="24"/>
          <w:u w:color="000000"/>
        </w:rPr>
        <w:t>)</w:t>
      </w:r>
    </w:p>
    <w:p w:rsidR="004F284C" w:rsidRPr="00CF2377" w:rsidRDefault="004B18F4" w:rsidP="008A30B0">
      <w:pPr>
        <w:pStyle w:val="NormalDoubleSpace"/>
        <w:jc w:val="both"/>
        <w:rPr>
          <w:color w:val="000000"/>
          <w:spacing w:val="-3"/>
          <w:szCs w:val="24"/>
          <w:u w:color="000000"/>
        </w:rPr>
      </w:pPr>
      <w:r w:rsidRPr="00CF2377">
        <w:rPr>
          <w:color w:val="000000"/>
          <w:spacing w:val="-3"/>
          <w:szCs w:val="24"/>
          <w:u w:color="000000"/>
        </w:rPr>
        <w:t xml:space="preserve"> </w:t>
      </w:r>
      <w:r w:rsidR="00B63EED" w:rsidRPr="00CF2377">
        <w:rPr>
          <w:color w:val="000000"/>
          <w:spacing w:val="-3"/>
          <w:szCs w:val="24"/>
          <w:u w:color="000000"/>
        </w:rPr>
        <w:tab/>
        <w:t>Despite recognizing</w:t>
      </w:r>
      <w:r w:rsidR="00B30718" w:rsidRPr="00CF2377">
        <w:rPr>
          <w:color w:val="000000"/>
          <w:spacing w:val="-3"/>
          <w:szCs w:val="24"/>
          <w:u w:color="000000"/>
        </w:rPr>
        <w:t xml:space="preserve"> the</w:t>
      </w:r>
      <w:r w:rsidR="00B63EED" w:rsidRPr="00CF2377">
        <w:rPr>
          <w:color w:val="000000"/>
          <w:spacing w:val="-3"/>
          <w:szCs w:val="24"/>
          <w:u w:color="000000"/>
        </w:rPr>
        <w:t xml:space="preserve"> “wonderful letters” in support of Mr. </w:t>
      </w:r>
      <w:r w:rsidR="003629D0">
        <w:rPr>
          <w:color w:val="000000"/>
          <w:spacing w:val="-3"/>
          <w:szCs w:val="24"/>
          <w:u w:color="000000"/>
        </w:rPr>
        <w:t>Defendant</w:t>
      </w:r>
      <w:r w:rsidR="00B63EED" w:rsidRPr="00CF2377">
        <w:rPr>
          <w:color w:val="000000"/>
          <w:spacing w:val="-3"/>
          <w:szCs w:val="24"/>
          <w:u w:color="000000"/>
        </w:rPr>
        <w:t xml:space="preserve"> and the mitigating factors mentioned above, the trial judge </w:t>
      </w:r>
      <w:r w:rsidR="00B30718" w:rsidRPr="00CF2377">
        <w:rPr>
          <w:color w:val="000000"/>
          <w:spacing w:val="-3"/>
          <w:szCs w:val="24"/>
          <w:u w:color="000000"/>
        </w:rPr>
        <w:t>felt</w:t>
      </w:r>
      <w:r w:rsidR="00B63EED" w:rsidRPr="00CF2377">
        <w:rPr>
          <w:color w:val="000000"/>
          <w:spacing w:val="-3"/>
          <w:szCs w:val="24"/>
          <w:u w:color="000000"/>
        </w:rPr>
        <w:t xml:space="preserve"> she had to ‘protect the public” because “</w:t>
      </w:r>
      <w:r w:rsidR="00B30718" w:rsidRPr="00CF2377">
        <w:rPr>
          <w:color w:val="000000"/>
          <w:spacing w:val="-3"/>
          <w:szCs w:val="24"/>
          <w:u w:color="000000"/>
        </w:rPr>
        <w:t>If I were to say that’s okay and l</w:t>
      </w:r>
      <w:r w:rsidR="00B63EED" w:rsidRPr="00CF2377">
        <w:rPr>
          <w:color w:val="000000"/>
          <w:spacing w:val="-3"/>
          <w:szCs w:val="24"/>
          <w:u w:color="000000"/>
        </w:rPr>
        <w:t>et you free and go home, you would do it again no questions in my mind.” (3/25/15 T 7-8).</w:t>
      </w:r>
    </w:p>
    <w:p w:rsidR="00883DF0" w:rsidRPr="00CF2377" w:rsidRDefault="00B30718" w:rsidP="008A30B0">
      <w:pPr>
        <w:pStyle w:val="NormalDoubleSpace"/>
        <w:ind w:firstLine="720"/>
        <w:jc w:val="both"/>
        <w:rPr>
          <w:color w:val="000000"/>
          <w:spacing w:val="-3"/>
          <w:szCs w:val="24"/>
          <w:u w:color="000000"/>
        </w:rPr>
      </w:pPr>
      <w:r w:rsidRPr="00CF2377">
        <w:rPr>
          <w:color w:val="000000"/>
          <w:spacing w:val="-3"/>
          <w:szCs w:val="24"/>
          <w:u w:color="000000"/>
        </w:rPr>
        <w:t xml:space="preserve">Even conceding a need to protect the public – one of the four goals of sentencing under </w:t>
      </w:r>
      <w:r w:rsidR="008A30B0">
        <w:rPr>
          <w:color w:val="000000"/>
          <w:spacing w:val="-3"/>
          <w:szCs w:val="24"/>
          <w:u w:color="000000"/>
        </w:rPr>
        <w:fldChar w:fldCharType="begin"/>
      </w:r>
      <w:r w:rsidR="008A30B0">
        <w:instrText xml:space="preserve"> TA \l "" \s "WSFTA_2f3f882110d44a9bb39059c2f2b0b77b" \c 3 </w:instrText>
      </w:r>
      <w:r w:rsidR="008A30B0">
        <w:rPr>
          <w:color w:val="000000"/>
          <w:spacing w:val="-3"/>
          <w:szCs w:val="24"/>
          <w:u w:color="000000"/>
        </w:rPr>
        <w:fldChar w:fldCharType="end"/>
      </w:r>
      <w:r w:rsidRPr="00CF2377">
        <w:rPr>
          <w:i/>
          <w:color w:val="000000"/>
          <w:spacing w:val="-3"/>
          <w:szCs w:val="24"/>
          <w:u w:color="000000"/>
        </w:rPr>
        <w:t>Coles, supra</w:t>
      </w:r>
      <w:r w:rsidRPr="00CF2377">
        <w:rPr>
          <w:color w:val="000000"/>
          <w:spacing w:val="-3"/>
          <w:szCs w:val="24"/>
          <w:u w:color="000000"/>
        </w:rPr>
        <w:t xml:space="preserve"> at 550 – a 17-year minimum term is excessive and disproportionate.  Mr. </w:t>
      </w:r>
      <w:r w:rsidR="003629D0">
        <w:rPr>
          <w:color w:val="000000"/>
          <w:spacing w:val="-3"/>
          <w:szCs w:val="24"/>
          <w:u w:color="000000"/>
        </w:rPr>
        <w:t>Defendant</w:t>
      </w:r>
      <w:r w:rsidRPr="00CF2377">
        <w:rPr>
          <w:color w:val="000000"/>
          <w:spacing w:val="-3"/>
          <w:szCs w:val="24"/>
          <w:u w:color="000000"/>
        </w:rPr>
        <w:t xml:space="preserve"> was 49 years old at the time of sentencing.  The instant </w:t>
      </w:r>
      <w:r w:rsidR="00A16698" w:rsidRPr="00CF2377">
        <w:rPr>
          <w:color w:val="000000"/>
          <w:spacing w:val="-3"/>
          <w:szCs w:val="24"/>
          <w:u w:color="000000"/>
        </w:rPr>
        <w:t xml:space="preserve">sentence appears likely to exceed his life expectancy </w:t>
      </w:r>
      <w:r w:rsidR="00642E5F" w:rsidRPr="00CF2377">
        <w:rPr>
          <w:color w:val="000000"/>
          <w:spacing w:val="-3"/>
          <w:szCs w:val="24"/>
          <w:u w:color="000000"/>
        </w:rPr>
        <w:t xml:space="preserve">as </w:t>
      </w:r>
      <w:r w:rsidR="00A16698" w:rsidRPr="00CF2377">
        <w:rPr>
          <w:color w:val="000000"/>
          <w:spacing w:val="-3"/>
          <w:szCs w:val="24"/>
          <w:u w:color="000000"/>
        </w:rPr>
        <w:t>a prison inmate.  The sentencing guidelines d</w:t>
      </w:r>
      <w:r w:rsidR="00642E5F" w:rsidRPr="00CF2377">
        <w:rPr>
          <w:color w:val="000000"/>
          <w:spacing w:val="-3"/>
          <w:szCs w:val="24"/>
          <w:u w:color="000000"/>
        </w:rPr>
        <w:t>o</w:t>
      </w:r>
      <w:r w:rsidR="00A16698" w:rsidRPr="00CF2377">
        <w:rPr>
          <w:color w:val="000000"/>
          <w:spacing w:val="-3"/>
          <w:szCs w:val="24"/>
          <w:u w:color="000000"/>
        </w:rPr>
        <w:t xml:space="preserve"> not authorize a life sentence in this case, and the trial judge did not speak of imposing a life sentence.  Yet for all practical purposes, a life sentence was imposed. </w:t>
      </w:r>
    </w:p>
    <w:p w:rsidR="00A16698" w:rsidRPr="00CF2377" w:rsidRDefault="00A16698" w:rsidP="008A30B0">
      <w:pPr>
        <w:pStyle w:val="NormalDoubleSpace"/>
        <w:ind w:firstLine="720"/>
        <w:jc w:val="both"/>
        <w:rPr>
          <w:color w:val="000000"/>
          <w:spacing w:val="-3"/>
          <w:szCs w:val="24"/>
          <w:u w:color="000000"/>
        </w:rPr>
      </w:pPr>
      <w:r w:rsidRPr="00CF2377">
        <w:rPr>
          <w:color w:val="000000"/>
          <w:spacing w:val="-3"/>
          <w:szCs w:val="24"/>
          <w:u w:color="000000"/>
        </w:rPr>
        <w:t xml:space="preserve">The sentence also fails because it does not consider the facts of the crime.  </w:t>
      </w:r>
      <w:r w:rsidR="00D63A87" w:rsidRPr="00CF2377">
        <w:rPr>
          <w:color w:val="000000"/>
          <w:spacing w:val="-3"/>
          <w:szCs w:val="24"/>
          <w:u w:color="000000"/>
        </w:rPr>
        <w:t>The Court of Appeals reversed a life sentence for a defendant who was a habitual offender but had stolen $40 from an open car window:</w:t>
      </w:r>
      <w:r w:rsidRPr="00CF2377">
        <w:rPr>
          <w:color w:val="000000"/>
          <w:spacing w:val="-3"/>
          <w:szCs w:val="24"/>
          <w:u w:color="000000"/>
        </w:rPr>
        <w:t xml:space="preserve"> </w:t>
      </w:r>
    </w:p>
    <w:p w:rsidR="00D63A87" w:rsidRPr="00CF2377" w:rsidRDefault="00A16698" w:rsidP="00A16698">
      <w:pPr>
        <w:pStyle w:val="BlockQuote"/>
        <w:rPr>
          <w:color w:val="000000"/>
          <w:u w:color="000000"/>
        </w:rPr>
      </w:pPr>
      <w:r w:rsidRPr="00CF2377">
        <w:rPr>
          <w:color w:val="000000"/>
          <w:u w:color="000000"/>
        </w:rPr>
        <w:t>We conclude that the trial court abused its sentencing discretion to the extent that it shocks our judicial conscience. The trial judge focused not on the crime committed by defendant, which was relatively minor, but on his status as an habitual criminal. If a sentence is to be tailored not only to the individual but also to the crime committed, then we cannot permit the habitual offender aspect to be the sole factor in arriving at a sentence. The court must keep in mind the fact that it is sentencing the defendant for a particular statutory violation, and it should tailor a sentence that is an appropriate, albeit enhanced, penalty for that particular crime</w:t>
      </w:r>
      <w:r w:rsidR="00D63A87" w:rsidRPr="00CF2377">
        <w:rPr>
          <w:color w:val="000000"/>
          <w:u w:color="000000"/>
        </w:rPr>
        <w:t xml:space="preserve">. </w:t>
      </w:r>
    </w:p>
    <w:p w:rsidR="00D63A87" w:rsidRPr="00CF2377" w:rsidRDefault="00D63A87" w:rsidP="00A16698">
      <w:pPr>
        <w:pStyle w:val="BlockQuote"/>
        <w:rPr>
          <w:color w:val="000000"/>
          <w:u w:color="000000"/>
        </w:rPr>
      </w:pPr>
    </w:p>
    <w:p w:rsidR="00A16698" w:rsidRPr="00CF2377" w:rsidRDefault="00D63A87" w:rsidP="00A16698">
      <w:pPr>
        <w:pStyle w:val="BlockQuote"/>
        <w:rPr>
          <w:color w:val="000000"/>
          <w:u w:color="000000"/>
        </w:rPr>
      </w:pPr>
      <w:r w:rsidRPr="00CF2377">
        <w:rPr>
          <w:color w:val="000000"/>
          <w:u w:color="000000"/>
        </w:rPr>
        <w:lastRenderedPageBreak/>
        <w:t>On the facts of this case, a sentence of life imprisonment for stealing $40 from an open car window was excessively severe. The crime committed by defendant, which triggered the life sentence, was relatively minor. The trial court appeared to focus solely on defendant's status as an habitual criminal, rather than on the nature of the crime giving rise to the sentence. [</w:t>
      </w:r>
      <w:r w:rsidR="008A30B0">
        <w:rPr>
          <w:color w:val="000000"/>
          <w:u w:color="000000"/>
        </w:rPr>
        <w:fldChar w:fldCharType="begin"/>
      </w:r>
      <w:r w:rsidR="008A30B0">
        <w:instrText xml:space="preserve"> TA \l "</w:instrText>
      </w:r>
      <w:r w:rsidR="008A30B0" w:rsidRPr="008A30B0">
        <w:rPr>
          <w:i/>
        </w:rPr>
        <w:instrText>People v Curry</w:instrText>
      </w:r>
      <w:r w:rsidR="008A30B0" w:rsidRPr="008A30B0">
        <w:instrText xml:space="preserve"> (On Remand), 142 Mich App 724 (1985)</w:instrText>
      </w:r>
      <w:r w:rsidR="008A30B0">
        <w:instrText xml:space="preserve">" \s "WSFTA_6fe8ecd9f38b409cb69c1a39b937373f" \c 3 </w:instrText>
      </w:r>
      <w:r w:rsidR="008A30B0">
        <w:rPr>
          <w:color w:val="000000"/>
          <w:u w:color="000000"/>
        </w:rPr>
        <w:fldChar w:fldCharType="end"/>
      </w:r>
      <w:r w:rsidRPr="00CF2377">
        <w:rPr>
          <w:i/>
          <w:color w:val="000000"/>
          <w:u w:color="000000"/>
        </w:rPr>
        <w:t>People v Curry (On Remand)</w:t>
      </w:r>
      <w:r w:rsidRPr="00CF2377">
        <w:rPr>
          <w:color w:val="000000"/>
          <w:u w:color="000000"/>
        </w:rPr>
        <w:t>, 142 Mich App 724, 735-736 (1985).]</w:t>
      </w:r>
    </w:p>
    <w:p w:rsidR="00883DF0" w:rsidRPr="00CF2377" w:rsidRDefault="00883DF0" w:rsidP="00883DF0">
      <w:pPr>
        <w:pStyle w:val="NormalDoubleSpace"/>
        <w:ind w:firstLine="720"/>
        <w:rPr>
          <w:color w:val="000000"/>
          <w:spacing w:val="-3"/>
          <w:szCs w:val="24"/>
          <w:u w:color="000000"/>
        </w:rPr>
      </w:pPr>
    </w:p>
    <w:p w:rsidR="00291F40" w:rsidRPr="00CF2377" w:rsidRDefault="00D63A87" w:rsidP="008A30B0">
      <w:pPr>
        <w:pStyle w:val="NormalDoubleSpace"/>
        <w:jc w:val="both"/>
        <w:rPr>
          <w:color w:val="000000"/>
          <w:u w:color="000000"/>
        </w:rPr>
      </w:pPr>
      <w:r w:rsidRPr="00CF2377">
        <w:rPr>
          <w:color w:val="000000"/>
          <w:u w:color="000000"/>
        </w:rPr>
        <w:t xml:space="preserve">But see </w:t>
      </w:r>
      <w:r w:rsidR="008A30B0">
        <w:rPr>
          <w:color w:val="000000"/>
          <w:u w:color="000000"/>
        </w:rPr>
        <w:fldChar w:fldCharType="begin"/>
      </w:r>
      <w:r w:rsidR="008A30B0">
        <w:instrText xml:space="preserve"> TA \l "</w:instrText>
      </w:r>
      <w:r w:rsidR="008A30B0" w:rsidRPr="008A30B0">
        <w:rPr>
          <w:i/>
        </w:rPr>
        <w:instrText>People v Hansford</w:instrText>
      </w:r>
      <w:r w:rsidR="008A30B0" w:rsidRPr="008A30B0">
        <w:instrText>, 454 Mich 320 (1997)</w:instrText>
      </w:r>
      <w:r w:rsidR="008A30B0">
        <w:instrText xml:space="preserve">" \s "WSFTA_6de389c652b6465e817abd1ea8215110" \c 3 </w:instrText>
      </w:r>
      <w:r w:rsidR="008A30B0">
        <w:rPr>
          <w:color w:val="000000"/>
          <w:u w:color="000000"/>
        </w:rPr>
        <w:fldChar w:fldCharType="end"/>
      </w:r>
      <w:r w:rsidRPr="00CF2377">
        <w:rPr>
          <w:i/>
          <w:color w:val="000000"/>
          <w:u w:color="000000"/>
        </w:rPr>
        <w:t>People v Hansford,</w:t>
      </w:r>
      <w:r w:rsidRPr="00CF2377">
        <w:rPr>
          <w:color w:val="000000"/>
          <w:u w:color="000000"/>
        </w:rPr>
        <w:t xml:space="preserve"> 454 Mich 320, 326 (1997) (affirming 40 to 60 year sentence for habitual offender convicted of who had committed “particularly offensive” crime of stealing his mother’s car while she was in the hospital and then going to her house and stealing thousands of dollars of appliances, fur and jewelry.  The Supreme Court affirmed the sentence given the “serious nature of this offense, defendant’s extensive criminal history, and his clear inability to reform . . . .”)</w:t>
      </w:r>
    </w:p>
    <w:p w:rsidR="00C5108A" w:rsidRPr="00CF2377" w:rsidRDefault="006C00B6" w:rsidP="008A30B0">
      <w:pPr>
        <w:pStyle w:val="NormalDoubleSpace"/>
        <w:ind w:firstLine="720"/>
        <w:jc w:val="both"/>
        <w:rPr>
          <w:color w:val="000000"/>
          <w:u w:color="000000"/>
        </w:rPr>
      </w:pPr>
      <w:r w:rsidRPr="00CF2377">
        <w:rPr>
          <w:color w:val="000000"/>
          <w:u w:color="000000"/>
        </w:rPr>
        <w:t>The sentence also fails to consider</w:t>
      </w:r>
      <w:r w:rsidR="00AA0FEF" w:rsidRPr="00CF2377">
        <w:rPr>
          <w:color w:val="000000"/>
          <w:u w:color="000000"/>
        </w:rPr>
        <w:t xml:space="preserve"> the lower recidivism rate of middle age offenders.</w:t>
      </w:r>
    </w:p>
    <w:p w:rsidR="00E37FEF" w:rsidRPr="00CF2377" w:rsidRDefault="00E37FEF" w:rsidP="008A30B0">
      <w:pPr>
        <w:pStyle w:val="NormalDoubleSpace"/>
        <w:jc w:val="both"/>
        <w:rPr>
          <w:color w:val="000000"/>
          <w:u w:color="000000"/>
        </w:rPr>
      </w:pPr>
      <w:r w:rsidRPr="00CF2377">
        <w:rPr>
          <w:color w:val="000000"/>
          <w:u w:color="000000"/>
        </w:rPr>
        <w:t xml:space="preserve">The Sixth Circuit recently reversed a sentence that would have kept a 46 year old serial bank robber in prison until the age of 91.  While the sentencing judge was concerned with defendant’s brazen recidivism and the threat posed to the public, the Court of Appeals noted statistics showing significantly reduced recidivism rates for offenders past the age of 50.  Moreover, “[b]oth the Guidelines and our Circuit’s cases explicitly acknowledge that a defendant’s age, and specifically old age, is a relevant consideration in sentencing.”  The Court cited the view of some observers “that elderly offenders pose so low a risk to the public that long or otherwise harsh sentences have no utilitarian benefit [internal citation omitted].”  The Court also mentioned “studies [that] indicate that neurotransmitters affecting aggression supplied at the synapses of brain neurons vary based on age, and may explain the observed decline in recidivism among older prisoners.”  </w:t>
      </w:r>
      <w:r w:rsidR="008A30B0">
        <w:rPr>
          <w:color w:val="000000"/>
          <w:u w:color="000000"/>
        </w:rPr>
        <w:fldChar w:fldCharType="begin"/>
      </w:r>
      <w:r w:rsidR="008A30B0">
        <w:instrText xml:space="preserve"> TA \l "</w:instrText>
      </w:r>
      <w:r w:rsidR="008A30B0" w:rsidRPr="008A30B0">
        <w:rPr>
          <w:i/>
        </w:rPr>
        <w:instrText>United States v Payton</w:instrText>
      </w:r>
      <w:r w:rsidR="008A30B0" w:rsidRPr="008A30B0">
        <w:instrText>, 754 F3d 375 (CA 6, 2014)</w:instrText>
      </w:r>
      <w:r w:rsidR="008A30B0">
        <w:instrText xml:space="preserve">" \s "WSFTA_d106a73e7cfb40dd807d920c76c3c693" \c 3 </w:instrText>
      </w:r>
      <w:r w:rsidR="008A30B0">
        <w:rPr>
          <w:color w:val="000000"/>
          <w:u w:color="000000"/>
        </w:rPr>
        <w:fldChar w:fldCharType="end"/>
      </w:r>
      <w:r w:rsidRPr="00CF2377">
        <w:rPr>
          <w:i/>
          <w:color w:val="000000"/>
          <w:u w:color="000000"/>
        </w:rPr>
        <w:t>United States v Payton</w:t>
      </w:r>
      <w:r w:rsidRPr="00CF2377">
        <w:rPr>
          <w:color w:val="000000"/>
          <w:u w:color="000000"/>
        </w:rPr>
        <w:t>, 754 F3d 375 (CA 6, 2014).</w:t>
      </w:r>
    </w:p>
    <w:p w:rsidR="00E37FEF" w:rsidRPr="00CF2377" w:rsidRDefault="00E37FEF" w:rsidP="008A30B0">
      <w:pPr>
        <w:pStyle w:val="NormalDoubleSpace"/>
        <w:ind w:firstLine="720"/>
        <w:jc w:val="both"/>
        <w:rPr>
          <w:color w:val="000000"/>
          <w:u w:color="000000"/>
        </w:rPr>
      </w:pPr>
      <w:r w:rsidRPr="00CF2377">
        <w:rPr>
          <w:color w:val="000000"/>
          <w:u w:color="000000"/>
        </w:rPr>
        <w:lastRenderedPageBreak/>
        <w:t xml:space="preserve">In </w:t>
      </w:r>
      <w:r w:rsidR="00642E5F" w:rsidRPr="00CF2377">
        <w:rPr>
          <w:color w:val="000000"/>
          <w:u w:color="000000"/>
        </w:rPr>
        <w:t>s</w:t>
      </w:r>
      <w:r w:rsidRPr="00CF2377">
        <w:rPr>
          <w:color w:val="000000"/>
          <w:u w:color="000000"/>
        </w:rPr>
        <w:t>um,</w:t>
      </w:r>
      <w:r w:rsidR="00642E5F" w:rsidRPr="00CF2377">
        <w:rPr>
          <w:color w:val="000000"/>
          <w:u w:color="000000"/>
        </w:rPr>
        <w:t xml:space="preserve"> this was a lower level “armed” robbery with a simulated gun, no injuries and relatively modest financial loss.  Mr. </w:t>
      </w:r>
      <w:r w:rsidR="003629D0">
        <w:rPr>
          <w:color w:val="000000"/>
          <w:u w:color="000000"/>
        </w:rPr>
        <w:t>Defendant</w:t>
      </w:r>
      <w:r w:rsidR="00642E5F" w:rsidRPr="00CF2377">
        <w:rPr>
          <w:color w:val="000000"/>
          <w:u w:color="000000"/>
        </w:rPr>
        <w:t xml:space="preserve"> does not ignore the impact on the victim – for which he deeply apologized at sentencing – and he concedes his prior record.  Yet a 17-year minimum term does not consider the unique facts of the case or the advancing age of the offender.  The sentence is unreasonable and disproportionate.</w:t>
      </w:r>
      <w:r w:rsidRPr="00CF2377">
        <w:rPr>
          <w:color w:val="000000"/>
          <w:u w:color="000000"/>
        </w:rPr>
        <w:t xml:space="preserve"> </w:t>
      </w:r>
      <w:r w:rsidR="00642E5F" w:rsidRPr="00CF2377">
        <w:rPr>
          <w:color w:val="000000"/>
          <w:u w:color="000000"/>
        </w:rPr>
        <w:t>This Court should reverse and remand for resentencing.</w:t>
      </w:r>
    </w:p>
    <w:p w:rsidR="00767B91" w:rsidRPr="00CF2377" w:rsidRDefault="00767B91" w:rsidP="00767B91">
      <w:pPr>
        <w:pStyle w:val="NormalDoubleSpace"/>
        <w:ind w:firstLine="720"/>
        <w:rPr>
          <w:color w:val="000000"/>
          <w:u w:color="000000"/>
        </w:rPr>
      </w:pPr>
    </w:p>
    <w:p w:rsidR="00305049" w:rsidRPr="00CF2377" w:rsidRDefault="00305049" w:rsidP="00305049">
      <w:pPr>
        <w:pStyle w:val="ListParagraph"/>
        <w:tabs>
          <w:tab w:val="left" w:pos="-720"/>
        </w:tabs>
        <w:suppressAutoHyphens/>
        <w:jc w:val="both"/>
        <w:rPr>
          <w:color w:val="000000"/>
          <w:spacing w:val="-3"/>
          <w:sz w:val="24"/>
          <w:szCs w:val="24"/>
          <w:u w:color="000000"/>
        </w:rPr>
      </w:pPr>
    </w:p>
    <w:p w:rsidR="00E135E6" w:rsidRDefault="00305049" w:rsidP="00305049">
      <w:pPr>
        <w:pStyle w:val="NormalDoubleSpace"/>
        <w:ind w:left="720"/>
        <w:rPr>
          <w:color w:val="000000"/>
          <w:u w:color="000000"/>
        </w:rPr>
      </w:pPr>
      <w:r w:rsidRPr="00CF2377">
        <w:rPr>
          <w:color w:val="000000"/>
          <w:u w:color="000000"/>
        </w:rPr>
        <w:t xml:space="preserve"> </w:t>
      </w:r>
    </w:p>
    <w:p w:rsidR="008A30B0" w:rsidRDefault="008A30B0" w:rsidP="008A30B0">
      <w:pPr>
        <w:pStyle w:val="Heading1"/>
      </w:pPr>
      <w:r>
        <w:rPr>
          <w:color w:val="000000"/>
          <w:u w:color="000000"/>
        </w:rPr>
        <w:br w:type="page"/>
      </w:r>
      <w:bookmarkStart w:id="24" w:name="_Toc430594485"/>
      <w:r>
        <w:lastRenderedPageBreak/>
        <w:t>SUMMARY AND RELIEF</w:t>
      </w:r>
      <w:bookmarkEnd w:id="24"/>
    </w:p>
    <w:p w:rsidR="008A30B0" w:rsidRDefault="008A30B0" w:rsidP="008A30B0">
      <w:pPr>
        <w:tabs>
          <w:tab w:val="left" w:pos="-1440"/>
          <w:tab w:val="left" w:pos="-720"/>
        </w:tabs>
        <w:suppressAutoHyphens/>
        <w:spacing w:line="480" w:lineRule="auto"/>
        <w:jc w:val="both"/>
        <w:rPr>
          <w:spacing w:val="-3"/>
        </w:rPr>
      </w:pPr>
    </w:p>
    <w:p w:rsidR="008A30B0" w:rsidRDefault="008A30B0" w:rsidP="008A30B0">
      <w:pPr>
        <w:tabs>
          <w:tab w:val="left" w:pos="-1440"/>
          <w:tab w:val="left" w:pos="-720"/>
        </w:tabs>
        <w:suppressAutoHyphens/>
        <w:spacing w:line="480" w:lineRule="auto"/>
        <w:jc w:val="both"/>
        <w:rPr>
          <w:spacing w:val="-3"/>
        </w:rPr>
      </w:pPr>
      <w:r>
        <w:rPr>
          <w:b/>
          <w:spacing w:val="-3"/>
        </w:rPr>
        <w:tab/>
        <w:t>WHEREFORE</w:t>
      </w:r>
      <w:r>
        <w:rPr>
          <w:spacing w:val="-3"/>
        </w:rPr>
        <w:t>, for the foregoing reasons, Defendant-Appellant asks that this Honorable Court grant leave to appeal, and order resentencing.</w:t>
      </w:r>
      <w:bookmarkStart w:id="25" w:name="_GoBack"/>
      <w:bookmarkEnd w:id="25"/>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t>Respectfully submitted,</w:t>
      </w: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t>STATE APPELLATE DEFENDER OFFICE</w:t>
      </w: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t>BY: __</w:t>
      </w:r>
      <w:r w:rsidRPr="00EA3411">
        <w:rPr>
          <w:spacing w:val="-3"/>
          <w:u w:val="single"/>
        </w:rPr>
        <w:t>/s/ Anne Yantus</w:t>
      </w:r>
      <w:r>
        <w:rPr>
          <w:spacing w:val="-3"/>
        </w:rPr>
        <w:t>___________</w:t>
      </w:r>
    </w:p>
    <w:p w:rsidR="008A30B0" w:rsidRDefault="008A30B0" w:rsidP="008A30B0">
      <w:pPr>
        <w:tabs>
          <w:tab w:val="left" w:pos="-1440"/>
          <w:tab w:val="left" w:pos="-720"/>
        </w:tabs>
        <w:suppressAutoHyphens/>
        <w:jc w:val="both"/>
        <w:rPr>
          <w:b/>
          <w:spacing w:val="-3"/>
        </w:rPr>
      </w:pPr>
      <w:r>
        <w:rPr>
          <w:b/>
          <w:spacing w:val="-3"/>
        </w:rPr>
        <w:tab/>
      </w:r>
      <w:r>
        <w:rPr>
          <w:b/>
          <w:spacing w:val="-3"/>
        </w:rPr>
        <w:tab/>
      </w:r>
      <w:r>
        <w:rPr>
          <w:b/>
          <w:spacing w:val="-3"/>
        </w:rPr>
        <w:tab/>
      </w:r>
      <w:r>
        <w:rPr>
          <w:b/>
          <w:spacing w:val="-3"/>
        </w:rPr>
        <w:tab/>
      </w:r>
      <w:r>
        <w:rPr>
          <w:b/>
          <w:spacing w:val="-3"/>
        </w:rPr>
        <w:tab/>
      </w:r>
      <w:r>
        <w:rPr>
          <w:b/>
          <w:spacing w:val="-3"/>
        </w:rPr>
        <w:tab/>
        <w:t>ANNE YANTUS (P 39445)</w:t>
      </w:r>
    </w:p>
    <w:p w:rsidR="008A30B0" w:rsidRDefault="008A30B0" w:rsidP="008A30B0">
      <w:pPr>
        <w:tabs>
          <w:tab w:val="left" w:pos="-1440"/>
          <w:tab w:val="left" w:pos="-720"/>
        </w:tabs>
        <w:suppressAutoHyphens/>
        <w:jc w:val="both"/>
        <w:rPr>
          <w:b/>
          <w:spacing w:val="-3"/>
        </w:rPr>
      </w:pPr>
      <w:r>
        <w:rPr>
          <w:b/>
          <w:spacing w:val="-3"/>
        </w:rPr>
        <w:tab/>
      </w:r>
      <w:r>
        <w:rPr>
          <w:b/>
          <w:spacing w:val="-3"/>
        </w:rPr>
        <w:tab/>
      </w:r>
      <w:r>
        <w:rPr>
          <w:b/>
          <w:spacing w:val="-3"/>
        </w:rPr>
        <w:tab/>
      </w:r>
      <w:r>
        <w:rPr>
          <w:b/>
          <w:spacing w:val="-3"/>
        </w:rPr>
        <w:tab/>
      </w:r>
      <w:r>
        <w:rPr>
          <w:b/>
          <w:spacing w:val="-3"/>
        </w:rPr>
        <w:tab/>
      </w:r>
      <w:r>
        <w:rPr>
          <w:b/>
          <w:spacing w:val="-3"/>
        </w:rPr>
        <w:tab/>
        <w:t>Managing Attorney</w:t>
      </w:r>
    </w:p>
    <w:p w:rsidR="008A30B0" w:rsidRDefault="008A30B0" w:rsidP="008A30B0">
      <w:pPr>
        <w:tabs>
          <w:tab w:val="left" w:pos="-1440"/>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r>
      <w:r>
        <w:rPr>
          <w:b/>
          <w:spacing w:val="-3"/>
        </w:rPr>
        <w:tab/>
        <w:t>Special Unit, Pleas/Early Releases</w:t>
      </w:r>
    </w:p>
    <w:p w:rsidR="008A30B0" w:rsidRDefault="008A30B0" w:rsidP="008A30B0">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 xml:space="preserve">3300 </w:t>
      </w:r>
      <w:smartTag w:uri="urn:schemas-microsoft-com:office:smarttags" w:element="place">
        <w:smartTag w:uri="urn:schemas-microsoft-com:office:smarttags" w:element="PlaceName">
          <w:r>
            <w:rPr>
              <w:spacing w:val="-3"/>
            </w:rPr>
            <w:t>Penobscot</w:t>
          </w:r>
        </w:smartTag>
        <w:r>
          <w:rPr>
            <w:spacing w:val="-3"/>
          </w:rPr>
          <w:t xml:space="preserve"> </w:t>
        </w:r>
        <w:smartTag w:uri="urn:schemas-microsoft-com:office:smarttags" w:element="PlaceType">
          <w:r>
            <w:rPr>
              <w:spacing w:val="-3"/>
            </w:rPr>
            <w:t>Building</w:t>
          </w:r>
        </w:smartTag>
      </w:smartTag>
    </w:p>
    <w:p w:rsidR="008A30B0" w:rsidRDefault="008A30B0" w:rsidP="008A30B0">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645 Griswold</w:t>
      </w:r>
    </w:p>
    <w:p w:rsidR="008A30B0" w:rsidRDefault="008A30B0" w:rsidP="008A30B0">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smartTag w:uri="urn:schemas-microsoft-com:office:smarttags" w:element="place">
        <w:smartTag w:uri="urn:schemas-microsoft-com:office:smarttags" w:element="City">
          <w:r>
            <w:rPr>
              <w:spacing w:val="-3"/>
            </w:rPr>
            <w:t>Detroit</w:t>
          </w:r>
        </w:smartTag>
        <w:r>
          <w:rPr>
            <w:spacing w:val="-3"/>
          </w:rPr>
          <w:t xml:space="preserve">, </w:t>
        </w:r>
        <w:smartTag w:uri="urn:schemas-microsoft-com:office:smarttags" w:element="State">
          <w:r>
            <w:rPr>
              <w:spacing w:val="-3"/>
            </w:rPr>
            <w:t>Michigan</w:t>
          </w:r>
        </w:smartTag>
        <w:r>
          <w:rPr>
            <w:spacing w:val="-3"/>
          </w:rPr>
          <w:t xml:space="preserve">  </w:t>
        </w:r>
        <w:smartTag w:uri="urn:schemas-microsoft-com:office:smarttags" w:element="PostalCode">
          <w:r>
            <w:rPr>
              <w:spacing w:val="-3"/>
            </w:rPr>
            <w:t>48226</w:t>
          </w:r>
        </w:smartTag>
      </w:smartTag>
    </w:p>
    <w:p w:rsidR="008A30B0" w:rsidRDefault="008A30B0" w:rsidP="008A30B0">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(313) 256-9833</w:t>
      </w: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p>
    <w:p w:rsidR="008A30B0" w:rsidRDefault="008A30B0" w:rsidP="008A30B0">
      <w:pPr>
        <w:tabs>
          <w:tab w:val="left" w:pos="-1440"/>
          <w:tab w:val="left" w:pos="-720"/>
        </w:tabs>
        <w:suppressAutoHyphens/>
        <w:jc w:val="both"/>
        <w:rPr>
          <w:spacing w:val="-3"/>
        </w:rPr>
      </w:pPr>
      <w:r>
        <w:rPr>
          <w:spacing w:val="-3"/>
        </w:rPr>
        <w:t xml:space="preserve">Dated:  </w:t>
      </w:r>
      <w:r>
        <w:rPr>
          <w:spacing w:val="-3"/>
        </w:rPr>
        <w:fldChar w:fldCharType="begin">
          <w:ffData>
            <w:name w:val="Date_for_Pleading"/>
            <w:enabled/>
            <w:calcOnExit w:val="0"/>
            <w:textInput/>
          </w:ffData>
        </w:fldChar>
      </w:r>
      <w:r>
        <w:rPr>
          <w:spacing w:val="-3"/>
        </w:rPr>
        <w:instrText xml:space="preserve"> FORMTEXT </w:instrText>
      </w:r>
      <w:r>
        <w:rPr>
          <w:spacing w:val="-3"/>
        </w:rPr>
      </w:r>
      <w:r>
        <w:rPr>
          <w:spacing w:val="-3"/>
        </w:rPr>
        <w:fldChar w:fldCharType="separate"/>
      </w:r>
      <w:r w:rsidR="000806BE">
        <w:rPr>
          <w:spacing w:val="-3"/>
        </w:rPr>
        <w:t>September 22, 2015</w:t>
      </w:r>
      <w:r>
        <w:rPr>
          <w:spacing w:val="-3"/>
        </w:rPr>
        <w:fldChar w:fldCharType="end"/>
      </w:r>
    </w:p>
    <w:p w:rsidR="008A30B0" w:rsidRDefault="008A30B0" w:rsidP="008A30B0">
      <w:pPr>
        <w:tabs>
          <w:tab w:val="center" w:pos="4680"/>
        </w:tabs>
        <w:suppressAutoHyphens/>
        <w:jc w:val="both"/>
        <w:rPr>
          <w:b/>
          <w:spacing w:val="-3"/>
        </w:rPr>
      </w:pPr>
      <w:r>
        <w:rPr>
          <w:b/>
          <w:spacing w:val="-3"/>
        </w:rPr>
        <w:tab/>
      </w:r>
    </w:p>
    <w:p w:rsidR="008A30B0" w:rsidRDefault="008A30B0">
      <w:pPr>
        <w:rPr>
          <w:color w:val="000000"/>
          <w:u w:color="000000"/>
        </w:rPr>
      </w:pPr>
    </w:p>
    <w:sectPr w:rsidR="008A30B0" w:rsidSect="008A30B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A1" w:rsidRDefault="00136AA1" w:rsidP="00E135E6">
      <w:r>
        <w:separator/>
      </w:r>
    </w:p>
  </w:endnote>
  <w:endnote w:type="continuationSeparator" w:id="0">
    <w:p w:rsidR="00136AA1" w:rsidRDefault="00136AA1" w:rsidP="00E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B0" w:rsidRDefault="008A30B0" w:rsidP="008A30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0B0" w:rsidRDefault="008A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B0" w:rsidRDefault="008A30B0" w:rsidP="008A30B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629D0">
      <w:rPr>
        <w:rStyle w:val="PageNumber"/>
        <w:noProof/>
      </w:rPr>
      <w:t>iv</w:t>
    </w:r>
    <w:r>
      <w:rPr>
        <w:rStyle w:val="PageNumber"/>
      </w:rPr>
      <w:fldChar w:fldCharType="end"/>
    </w:r>
  </w:p>
  <w:p w:rsidR="008A30B0" w:rsidRPr="008A30B0" w:rsidRDefault="008A30B0" w:rsidP="008A30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B0" w:rsidRDefault="008A30B0" w:rsidP="008A30B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629D0">
      <w:rPr>
        <w:rStyle w:val="PageNumber"/>
        <w:noProof/>
      </w:rPr>
      <w:t>13</w:t>
    </w:r>
    <w:r>
      <w:rPr>
        <w:rStyle w:val="PageNumber"/>
      </w:rPr>
      <w:fldChar w:fldCharType="end"/>
    </w:r>
  </w:p>
  <w:p w:rsidR="008A30B0" w:rsidRPr="008A30B0" w:rsidRDefault="008A30B0" w:rsidP="008A30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A1" w:rsidRDefault="00136AA1" w:rsidP="00E135E6">
      <w:r>
        <w:separator/>
      </w:r>
    </w:p>
  </w:footnote>
  <w:footnote w:type="continuationSeparator" w:id="0">
    <w:p w:rsidR="00136AA1" w:rsidRDefault="00136AA1" w:rsidP="00E135E6">
      <w:r>
        <w:continuationSeparator/>
      </w:r>
    </w:p>
  </w:footnote>
  <w:footnote w:id="1">
    <w:p w:rsidR="00E135E6" w:rsidRDefault="00E135E6">
      <w:pPr>
        <w:pStyle w:val="FootnoteText"/>
      </w:pPr>
      <w:r>
        <w:rPr>
          <w:rStyle w:val="FootnoteReference"/>
        </w:rPr>
        <w:footnoteRef/>
      </w:r>
      <w:r>
        <w:t xml:space="preserve"> PSI refers to presentence investigation report.</w:t>
      </w:r>
    </w:p>
  </w:footnote>
  <w:footnote w:id="2">
    <w:p w:rsidR="003D6100" w:rsidRPr="003D6100" w:rsidRDefault="003D6100">
      <w:pPr>
        <w:pStyle w:val="FootnoteText"/>
      </w:pPr>
      <w:r>
        <w:rPr>
          <w:rStyle w:val="FootnoteReference"/>
        </w:rPr>
        <w:footnoteRef/>
      </w:r>
      <w:r>
        <w:t xml:space="preserve"> The trial court may not presume a sentence falling within the recommended range is reasonable.  </w:t>
      </w:r>
      <w:r w:rsidR="008A30B0">
        <w:fldChar w:fldCharType="begin"/>
      </w:r>
      <w:r w:rsidR="008A30B0">
        <w:instrText xml:space="preserve"> TA \l "" \s "WSFTA_9748788724b24e139fbcf81f18cb28bf" \c 3 </w:instrText>
      </w:r>
      <w:r w:rsidR="008A30B0">
        <w:fldChar w:fldCharType="end"/>
      </w:r>
      <w:r>
        <w:rPr>
          <w:i/>
        </w:rPr>
        <w:t>Rita</w:t>
      </w:r>
      <w:r>
        <w:t>, at 351.</w:t>
      </w:r>
    </w:p>
  </w:footnote>
  <w:footnote w:id="3">
    <w:p w:rsidR="004B18F4" w:rsidRDefault="004B18F4">
      <w:pPr>
        <w:pStyle w:val="FootnoteText"/>
      </w:pPr>
      <w:r>
        <w:rPr>
          <w:rStyle w:val="FootnoteReference"/>
        </w:rPr>
        <w:footnoteRef/>
      </w:r>
      <w:r>
        <w:t xml:space="preserve"> In his allocution, Mr. James expressed his regret and how “I meant no harm to nobody when I went in there, I meant no harm to the attendant when I went in there.”  He knew his conduct was wrong, but “I didn’t have a weapon.  I wasn’t going to have a weapon, I’ve never held a gun in my hand and that’s honest.” </w:t>
      </w:r>
      <w:r w:rsidR="00506681">
        <w:t xml:space="preserve"> He spoke of how he was “terribly, terribly sorry” for his actions. </w:t>
      </w:r>
      <w:r>
        <w:t>(3/25/15 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CB4"/>
    <w:multiLevelType w:val="multilevel"/>
    <w:tmpl w:val="F5241C8A"/>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rPr>
        <w:u w:val="none"/>
      </w:r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1D684D61"/>
    <w:multiLevelType w:val="hybridMultilevel"/>
    <w:tmpl w:val="A0F8F4A4"/>
    <w:lvl w:ilvl="0" w:tplc="30AA4CF4">
      <w:start w:val="1"/>
      <w:numFmt w:val="upperRoman"/>
      <w:lvlText w:val="%1."/>
      <w:lvlJc w:val="left"/>
      <w:pPr>
        <w:ind w:left="2160" w:hanging="720"/>
      </w:pPr>
      <w:rPr>
        <w:rFonts w:eastAsia="Times New Roman"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F65B43"/>
    <w:multiLevelType w:val="multilevel"/>
    <w:tmpl w:val="0E74E60E"/>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4D48773C"/>
    <w:multiLevelType w:val="multilevel"/>
    <w:tmpl w:val="60B20F70"/>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505227D5"/>
    <w:multiLevelType w:val="hybridMultilevel"/>
    <w:tmpl w:val="429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75A8E"/>
    <w:multiLevelType w:val="singleLevel"/>
    <w:tmpl w:val="B87ACC22"/>
    <w:lvl w:ilvl="0">
      <w:start w:val="1"/>
      <w:numFmt w:val="upperRoman"/>
      <w:lvlText w:val="%1."/>
      <w:lvlJc w:val="left"/>
      <w:pPr>
        <w:tabs>
          <w:tab w:val="num" w:pos="1440"/>
        </w:tabs>
        <w:ind w:left="1440" w:hanging="720"/>
      </w:pPr>
      <w:rPr>
        <w:b/>
        <w:i w:val="0"/>
      </w:rPr>
    </w:lvl>
  </w:abstractNum>
  <w:abstractNum w:abstractNumId="6">
    <w:nsid w:val="66BC1844"/>
    <w:multiLevelType w:val="multilevel"/>
    <w:tmpl w:val="E15AB358"/>
    <w:lvl w:ilvl="0">
      <w:start w:val="1"/>
      <w:numFmt w:val="upperRoman"/>
      <w:pStyle w:val="ISSUE"/>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2"/>
  </w:num>
  <w:num w:numId="8">
    <w:abstractNumId w:val="2"/>
  </w:num>
  <w:num w:numId="9">
    <w:abstractNumId w:val="0"/>
  </w:num>
  <w:num w:numId="10">
    <w:abstractNumId w:val="0"/>
  </w:num>
  <w:num w:numId="11">
    <w:abstractNumId w:val="0"/>
  </w:num>
  <w:num w:numId="12">
    <w:abstractNumId w:val="0"/>
  </w:num>
  <w:num w:numId="13">
    <w:abstractNumId w:val="6"/>
  </w:num>
  <w:num w:numId="14">
    <w:abstractNumId w:val="6"/>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MyIden" w:val="28543"/>
    <w:docVar w:name="DocMySatyEmail" w:val="Ayantus@sado.org"/>
    <w:docVar w:name="DocMySecy" w:val=" "/>
    <w:docVar w:name="DocPleaDate" w:val="9-22-15"/>
    <w:docVar w:name="MyDocTitle" w:val="0"/>
    <w:docVar w:name="NotExp" w:val="0"/>
    <w:docVar w:name="SecyName" w:val="0"/>
  </w:docVars>
  <w:rsids>
    <w:rsidRoot w:val="00E135E6"/>
    <w:rsid w:val="000033F0"/>
    <w:rsid w:val="00007ECE"/>
    <w:rsid w:val="00011F7D"/>
    <w:rsid w:val="00012C4C"/>
    <w:rsid w:val="00013AD0"/>
    <w:rsid w:val="00017B8D"/>
    <w:rsid w:val="0002624B"/>
    <w:rsid w:val="00026FD9"/>
    <w:rsid w:val="00027318"/>
    <w:rsid w:val="00030092"/>
    <w:rsid w:val="00042390"/>
    <w:rsid w:val="00052F2B"/>
    <w:rsid w:val="00061169"/>
    <w:rsid w:val="00062DC3"/>
    <w:rsid w:val="000806BE"/>
    <w:rsid w:val="000A0C44"/>
    <w:rsid w:val="000A0E5A"/>
    <w:rsid w:val="000C3F84"/>
    <w:rsid w:val="000D2258"/>
    <w:rsid w:val="000D23E2"/>
    <w:rsid w:val="00104CE0"/>
    <w:rsid w:val="00115F43"/>
    <w:rsid w:val="001244AC"/>
    <w:rsid w:val="00125C7E"/>
    <w:rsid w:val="00132E52"/>
    <w:rsid w:val="001333EE"/>
    <w:rsid w:val="00133A6A"/>
    <w:rsid w:val="00136AA1"/>
    <w:rsid w:val="0016108A"/>
    <w:rsid w:val="00162892"/>
    <w:rsid w:val="00165364"/>
    <w:rsid w:val="001778B2"/>
    <w:rsid w:val="001865EB"/>
    <w:rsid w:val="00187083"/>
    <w:rsid w:val="001B1B26"/>
    <w:rsid w:val="001B2FCA"/>
    <w:rsid w:val="001B3FFF"/>
    <w:rsid w:val="001B5620"/>
    <w:rsid w:val="001D116F"/>
    <w:rsid w:val="001D56F4"/>
    <w:rsid w:val="001D5E22"/>
    <w:rsid w:val="001F3227"/>
    <w:rsid w:val="002002AD"/>
    <w:rsid w:val="00215124"/>
    <w:rsid w:val="00221338"/>
    <w:rsid w:val="00223D9C"/>
    <w:rsid w:val="002447A6"/>
    <w:rsid w:val="002714DD"/>
    <w:rsid w:val="00280E76"/>
    <w:rsid w:val="0029121A"/>
    <w:rsid w:val="00291F40"/>
    <w:rsid w:val="002A2790"/>
    <w:rsid w:val="002A28B7"/>
    <w:rsid w:val="002A474E"/>
    <w:rsid w:val="002B0899"/>
    <w:rsid w:val="002E0204"/>
    <w:rsid w:val="002E3D50"/>
    <w:rsid w:val="002E7EC0"/>
    <w:rsid w:val="002F677E"/>
    <w:rsid w:val="00305049"/>
    <w:rsid w:val="00317D7C"/>
    <w:rsid w:val="003209F8"/>
    <w:rsid w:val="0032526D"/>
    <w:rsid w:val="00325459"/>
    <w:rsid w:val="00325A66"/>
    <w:rsid w:val="00347C8D"/>
    <w:rsid w:val="00352A7A"/>
    <w:rsid w:val="00352FF6"/>
    <w:rsid w:val="00361FF8"/>
    <w:rsid w:val="003629D0"/>
    <w:rsid w:val="00373491"/>
    <w:rsid w:val="00390844"/>
    <w:rsid w:val="00397DB3"/>
    <w:rsid w:val="003A1D25"/>
    <w:rsid w:val="003B0FCB"/>
    <w:rsid w:val="003C3C03"/>
    <w:rsid w:val="003D1A9A"/>
    <w:rsid w:val="003D1B6F"/>
    <w:rsid w:val="003D6100"/>
    <w:rsid w:val="003E74D6"/>
    <w:rsid w:val="003F3034"/>
    <w:rsid w:val="004014A5"/>
    <w:rsid w:val="00405D95"/>
    <w:rsid w:val="00407955"/>
    <w:rsid w:val="004146D7"/>
    <w:rsid w:val="00414963"/>
    <w:rsid w:val="004157AB"/>
    <w:rsid w:val="00417336"/>
    <w:rsid w:val="00435B96"/>
    <w:rsid w:val="0043657B"/>
    <w:rsid w:val="004379BB"/>
    <w:rsid w:val="004427FF"/>
    <w:rsid w:val="004438C4"/>
    <w:rsid w:val="004525D5"/>
    <w:rsid w:val="0046425E"/>
    <w:rsid w:val="0048484B"/>
    <w:rsid w:val="00484913"/>
    <w:rsid w:val="0049385C"/>
    <w:rsid w:val="004A1086"/>
    <w:rsid w:val="004B18F4"/>
    <w:rsid w:val="004C1B77"/>
    <w:rsid w:val="004C1E4B"/>
    <w:rsid w:val="004C1FBB"/>
    <w:rsid w:val="004C4BDE"/>
    <w:rsid w:val="004C5E6A"/>
    <w:rsid w:val="004D102D"/>
    <w:rsid w:val="004D1478"/>
    <w:rsid w:val="004D3A71"/>
    <w:rsid w:val="004D452B"/>
    <w:rsid w:val="004D675B"/>
    <w:rsid w:val="004D7692"/>
    <w:rsid w:val="004E1C86"/>
    <w:rsid w:val="004E567B"/>
    <w:rsid w:val="004F284C"/>
    <w:rsid w:val="00506681"/>
    <w:rsid w:val="005100DB"/>
    <w:rsid w:val="00517AF1"/>
    <w:rsid w:val="00522F4A"/>
    <w:rsid w:val="00535402"/>
    <w:rsid w:val="00550FB7"/>
    <w:rsid w:val="00562B4B"/>
    <w:rsid w:val="00575104"/>
    <w:rsid w:val="0057714E"/>
    <w:rsid w:val="00580264"/>
    <w:rsid w:val="00586256"/>
    <w:rsid w:val="00595FAC"/>
    <w:rsid w:val="005B693D"/>
    <w:rsid w:val="005D0974"/>
    <w:rsid w:val="005D5C46"/>
    <w:rsid w:val="005E23D9"/>
    <w:rsid w:val="005E6392"/>
    <w:rsid w:val="006176FA"/>
    <w:rsid w:val="0062056D"/>
    <w:rsid w:val="00626D9D"/>
    <w:rsid w:val="00642E5F"/>
    <w:rsid w:val="00662A34"/>
    <w:rsid w:val="0066498C"/>
    <w:rsid w:val="0067160B"/>
    <w:rsid w:val="0067425B"/>
    <w:rsid w:val="006813CE"/>
    <w:rsid w:val="00697337"/>
    <w:rsid w:val="006A27BE"/>
    <w:rsid w:val="006C00B6"/>
    <w:rsid w:val="006C72DB"/>
    <w:rsid w:val="006C7657"/>
    <w:rsid w:val="006E0BA4"/>
    <w:rsid w:val="006E7DD8"/>
    <w:rsid w:val="006F0C94"/>
    <w:rsid w:val="006F3836"/>
    <w:rsid w:val="006F4672"/>
    <w:rsid w:val="00700EFE"/>
    <w:rsid w:val="00713571"/>
    <w:rsid w:val="00717FBF"/>
    <w:rsid w:val="00721331"/>
    <w:rsid w:val="007213C7"/>
    <w:rsid w:val="00742DEF"/>
    <w:rsid w:val="0074783B"/>
    <w:rsid w:val="00764F0B"/>
    <w:rsid w:val="00767B91"/>
    <w:rsid w:val="007738B7"/>
    <w:rsid w:val="00787927"/>
    <w:rsid w:val="00793643"/>
    <w:rsid w:val="007A239A"/>
    <w:rsid w:val="007A2CF2"/>
    <w:rsid w:val="007A4B64"/>
    <w:rsid w:val="007A5CD0"/>
    <w:rsid w:val="007B72F8"/>
    <w:rsid w:val="007C171F"/>
    <w:rsid w:val="007C188B"/>
    <w:rsid w:val="007D4D57"/>
    <w:rsid w:val="007F0302"/>
    <w:rsid w:val="007F0B30"/>
    <w:rsid w:val="007F7CD2"/>
    <w:rsid w:val="00800841"/>
    <w:rsid w:val="00807AE5"/>
    <w:rsid w:val="00825AAD"/>
    <w:rsid w:val="008312E2"/>
    <w:rsid w:val="008459CC"/>
    <w:rsid w:val="00855DEE"/>
    <w:rsid w:val="00860C3A"/>
    <w:rsid w:val="008660B3"/>
    <w:rsid w:val="0087119D"/>
    <w:rsid w:val="008821C5"/>
    <w:rsid w:val="00883DF0"/>
    <w:rsid w:val="00884599"/>
    <w:rsid w:val="00886737"/>
    <w:rsid w:val="008870D1"/>
    <w:rsid w:val="00892CD0"/>
    <w:rsid w:val="00893AFA"/>
    <w:rsid w:val="008971AD"/>
    <w:rsid w:val="008A2E99"/>
    <w:rsid w:val="008A30B0"/>
    <w:rsid w:val="008A5B3C"/>
    <w:rsid w:val="008D1830"/>
    <w:rsid w:val="008D1FC2"/>
    <w:rsid w:val="008D374F"/>
    <w:rsid w:val="008F1CF4"/>
    <w:rsid w:val="00921F0A"/>
    <w:rsid w:val="00933940"/>
    <w:rsid w:val="00936999"/>
    <w:rsid w:val="0094262D"/>
    <w:rsid w:val="00946573"/>
    <w:rsid w:val="009600ED"/>
    <w:rsid w:val="00974E35"/>
    <w:rsid w:val="009943E6"/>
    <w:rsid w:val="009945A5"/>
    <w:rsid w:val="009A2557"/>
    <w:rsid w:val="009A3BC8"/>
    <w:rsid w:val="009B52B7"/>
    <w:rsid w:val="009C09D5"/>
    <w:rsid w:val="009C4FA5"/>
    <w:rsid w:val="009C7491"/>
    <w:rsid w:val="009D04E9"/>
    <w:rsid w:val="009D4A1D"/>
    <w:rsid w:val="009E6DE1"/>
    <w:rsid w:val="009E78D1"/>
    <w:rsid w:val="009F5653"/>
    <w:rsid w:val="00A00715"/>
    <w:rsid w:val="00A00E4D"/>
    <w:rsid w:val="00A00EF7"/>
    <w:rsid w:val="00A14E2F"/>
    <w:rsid w:val="00A16698"/>
    <w:rsid w:val="00A16B04"/>
    <w:rsid w:val="00A3715B"/>
    <w:rsid w:val="00A42ABA"/>
    <w:rsid w:val="00A43D8E"/>
    <w:rsid w:val="00A57AB3"/>
    <w:rsid w:val="00A606BA"/>
    <w:rsid w:val="00A72DC8"/>
    <w:rsid w:val="00A76BE9"/>
    <w:rsid w:val="00A87C93"/>
    <w:rsid w:val="00AA0FEF"/>
    <w:rsid w:val="00AA15BE"/>
    <w:rsid w:val="00AA3661"/>
    <w:rsid w:val="00AB401C"/>
    <w:rsid w:val="00AC2DB0"/>
    <w:rsid w:val="00AC33D4"/>
    <w:rsid w:val="00AC60A5"/>
    <w:rsid w:val="00AD55A0"/>
    <w:rsid w:val="00AE0C10"/>
    <w:rsid w:val="00B11A24"/>
    <w:rsid w:val="00B14B8A"/>
    <w:rsid w:val="00B14CCD"/>
    <w:rsid w:val="00B21803"/>
    <w:rsid w:val="00B30718"/>
    <w:rsid w:val="00B42020"/>
    <w:rsid w:val="00B433B5"/>
    <w:rsid w:val="00B438EF"/>
    <w:rsid w:val="00B46214"/>
    <w:rsid w:val="00B50B7D"/>
    <w:rsid w:val="00B56143"/>
    <w:rsid w:val="00B56484"/>
    <w:rsid w:val="00B569A8"/>
    <w:rsid w:val="00B63EED"/>
    <w:rsid w:val="00B6574B"/>
    <w:rsid w:val="00B70BB9"/>
    <w:rsid w:val="00B74B4B"/>
    <w:rsid w:val="00B90EDB"/>
    <w:rsid w:val="00B93DC4"/>
    <w:rsid w:val="00BB0E3E"/>
    <w:rsid w:val="00BB0E3F"/>
    <w:rsid w:val="00BB1AEC"/>
    <w:rsid w:val="00BB550B"/>
    <w:rsid w:val="00BD1CCF"/>
    <w:rsid w:val="00BE23E6"/>
    <w:rsid w:val="00BE734C"/>
    <w:rsid w:val="00BF2D1F"/>
    <w:rsid w:val="00C07700"/>
    <w:rsid w:val="00C13147"/>
    <w:rsid w:val="00C23B1A"/>
    <w:rsid w:val="00C27329"/>
    <w:rsid w:val="00C305D1"/>
    <w:rsid w:val="00C310A7"/>
    <w:rsid w:val="00C3148A"/>
    <w:rsid w:val="00C35F83"/>
    <w:rsid w:val="00C5108A"/>
    <w:rsid w:val="00C64BF0"/>
    <w:rsid w:val="00C705AC"/>
    <w:rsid w:val="00C743D7"/>
    <w:rsid w:val="00C86A46"/>
    <w:rsid w:val="00CB1CD1"/>
    <w:rsid w:val="00CD71AF"/>
    <w:rsid w:val="00CD77EE"/>
    <w:rsid w:val="00CE4580"/>
    <w:rsid w:val="00CF2377"/>
    <w:rsid w:val="00CF5876"/>
    <w:rsid w:val="00D32839"/>
    <w:rsid w:val="00D34C6F"/>
    <w:rsid w:val="00D36ABF"/>
    <w:rsid w:val="00D3741B"/>
    <w:rsid w:val="00D4092E"/>
    <w:rsid w:val="00D55057"/>
    <w:rsid w:val="00D63A87"/>
    <w:rsid w:val="00D641D5"/>
    <w:rsid w:val="00D67040"/>
    <w:rsid w:val="00D72D7F"/>
    <w:rsid w:val="00D7337E"/>
    <w:rsid w:val="00D778A7"/>
    <w:rsid w:val="00DA61B2"/>
    <w:rsid w:val="00DE0B4B"/>
    <w:rsid w:val="00DE6AF9"/>
    <w:rsid w:val="00E056C6"/>
    <w:rsid w:val="00E05845"/>
    <w:rsid w:val="00E135E6"/>
    <w:rsid w:val="00E213B5"/>
    <w:rsid w:val="00E221FC"/>
    <w:rsid w:val="00E30E02"/>
    <w:rsid w:val="00E35241"/>
    <w:rsid w:val="00E37FEF"/>
    <w:rsid w:val="00E415BD"/>
    <w:rsid w:val="00E478CA"/>
    <w:rsid w:val="00E5026B"/>
    <w:rsid w:val="00E53772"/>
    <w:rsid w:val="00E66DBB"/>
    <w:rsid w:val="00E70648"/>
    <w:rsid w:val="00E70C9F"/>
    <w:rsid w:val="00E771D3"/>
    <w:rsid w:val="00E84834"/>
    <w:rsid w:val="00E93A4C"/>
    <w:rsid w:val="00E9707E"/>
    <w:rsid w:val="00EA4978"/>
    <w:rsid w:val="00EA7B73"/>
    <w:rsid w:val="00EC0449"/>
    <w:rsid w:val="00EC6DCF"/>
    <w:rsid w:val="00EC7398"/>
    <w:rsid w:val="00ED4EC0"/>
    <w:rsid w:val="00EF2563"/>
    <w:rsid w:val="00EF741D"/>
    <w:rsid w:val="00F0266D"/>
    <w:rsid w:val="00F03326"/>
    <w:rsid w:val="00F14096"/>
    <w:rsid w:val="00F1767F"/>
    <w:rsid w:val="00F20343"/>
    <w:rsid w:val="00F20C1E"/>
    <w:rsid w:val="00F211E3"/>
    <w:rsid w:val="00F23F7E"/>
    <w:rsid w:val="00F264D2"/>
    <w:rsid w:val="00F35DFF"/>
    <w:rsid w:val="00F457FE"/>
    <w:rsid w:val="00F62524"/>
    <w:rsid w:val="00F6629C"/>
    <w:rsid w:val="00F75A85"/>
    <w:rsid w:val="00F8209B"/>
    <w:rsid w:val="00FA01EF"/>
    <w:rsid w:val="00FA49E2"/>
    <w:rsid w:val="00FA6944"/>
    <w:rsid w:val="00FA7ADB"/>
    <w:rsid w:val="00FC01A7"/>
    <w:rsid w:val="00FC130B"/>
    <w:rsid w:val="00FC1E02"/>
    <w:rsid w:val="00FE01F9"/>
    <w:rsid w:val="00FE568C"/>
    <w:rsid w:val="00FF639F"/>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able of authorities" w:uiPriority="99"/>
    <w:lsdException w:name="toa heading"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74"/>
    <w:rPr>
      <w:sz w:val="24"/>
    </w:rPr>
  </w:style>
  <w:style w:type="paragraph" w:styleId="Heading1">
    <w:name w:val="heading 1"/>
    <w:basedOn w:val="Normal"/>
    <w:next w:val="Normal"/>
    <w:qFormat/>
    <w:rsid w:val="00C305D1"/>
    <w:pPr>
      <w:keepNext/>
      <w:spacing w:after="240"/>
      <w:jc w:val="center"/>
      <w:outlineLvl w:val="0"/>
    </w:pPr>
    <w:rPr>
      <w:b/>
      <w:kern w:val="28"/>
      <w:sz w:val="28"/>
      <w:u w:val="single"/>
    </w:rPr>
  </w:style>
  <w:style w:type="paragraph" w:styleId="Heading2">
    <w:name w:val="heading 2"/>
    <w:basedOn w:val="Normal"/>
    <w:next w:val="Normal"/>
    <w:qFormat/>
    <w:rsid w:val="00C305D1"/>
    <w:pPr>
      <w:keepNext/>
      <w:spacing w:before="240" w:after="60"/>
      <w:outlineLvl w:val="1"/>
    </w:pPr>
    <w:rPr>
      <w:b/>
    </w:rPr>
  </w:style>
  <w:style w:type="paragraph" w:styleId="Heading3">
    <w:name w:val="heading 3"/>
    <w:basedOn w:val="Normal"/>
    <w:next w:val="Normal"/>
    <w:qFormat/>
    <w:rsid w:val="00C305D1"/>
    <w:pPr>
      <w:keepNext/>
      <w:spacing w:before="240" w:after="60"/>
      <w:ind w:right="14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C305D1"/>
    <w:pPr>
      <w:numPr>
        <w:numId w:val="15"/>
      </w:numPr>
      <w:spacing w:after="240"/>
      <w:ind w:right="1008"/>
      <w:jc w:val="both"/>
    </w:pPr>
    <w:rPr>
      <w:b/>
      <w:caps/>
      <w:szCs w:val="24"/>
    </w:rPr>
  </w:style>
  <w:style w:type="paragraph" w:customStyle="1" w:styleId="Citation">
    <w:name w:val="Citation"/>
    <w:basedOn w:val="Normal"/>
    <w:rsid w:val="00C305D1"/>
    <w:pPr>
      <w:tabs>
        <w:tab w:val="right" w:leader="dot" w:pos="9360"/>
      </w:tabs>
      <w:ind w:left="360" w:hanging="360"/>
    </w:pPr>
  </w:style>
  <w:style w:type="paragraph" w:styleId="FootnoteText">
    <w:name w:val="footnote text"/>
    <w:basedOn w:val="Normal"/>
    <w:semiHidden/>
    <w:rsid w:val="00C305D1"/>
    <w:pPr>
      <w:keepLines/>
      <w:spacing w:line="240" w:lineRule="exact"/>
      <w:jc w:val="both"/>
    </w:pPr>
  </w:style>
  <w:style w:type="paragraph" w:styleId="TOC5">
    <w:name w:val="toc 5"/>
    <w:basedOn w:val="Normal"/>
    <w:next w:val="Normal"/>
    <w:uiPriority w:val="39"/>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qFormat/>
    <w:rsid w:val="00C305D1"/>
    <w:pPr>
      <w:spacing w:line="480" w:lineRule="auto"/>
    </w:pPr>
  </w:style>
  <w:style w:type="paragraph" w:customStyle="1" w:styleId="BlockQuote">
    <w:name w:val="Block Quote"/>
    <w:basedOn w:val="Normal"/>
    <w:rsid w:val="00C305D1"/>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character" w:styleId="FootnoteReference">
    <w:name w:val="footnote reference"/>
    <w:basedOn w:val="DefaultParagraphFont"/>
    <w:rsid w:val="00E135E6"/>
    <w:rPr>
      <w:vertAlign w:val="superscript"/>
    </w:rPr>
  </w:style>
  <w:style w:type="paragraph" w:styleId="ListParagraph">
    <w:name w:val="List Paragraph"/>
    <w:basedOn w:val="Normal"/>
    <w:uiPriority w:val="34"/>
    <w:qFormat/>
    <w:rsid w:val="00305049"/>
    <w:pPr>
      <w:ind w:left="720"/>
    </w:pPr>
    <w:rPr>
      <w:sz w:val="20"/>
    </w:rPr>
  </w:style>
  <w:style w:type="paragraph" w:customStyle="1" w:styleId="Body">
    <w:name w:val="Body"/>
    <w:rsid w:val="00E37FEF"/>
    <w:rPr>
      <w:rFonts w:ascii="Helvetica" w:eastAsia="ヒラギノ角ゴ Pro W3" w:hAnsi="Helvetica"/>
      <w:color w:val="000000"/>
      <w:sz w:val="24"/>
    </w:rPr>
  </w:style>
  <w:style w:type="paragraph" w:styleId="Header">
    <w:name w:val="header"/>
    <w:basedOn w:val="Normal"/>
    <w:link w:val="HeaderChar"/>
    <w:rsid w:val="008A30B0"/>
    <w:pPr>
      <w:tabs>
        <w:tab w:val="center" w:pos="4680"/>
        <w:tab w:val="right" w:pos="9360"/>
      </w:tabs>
    </w:pPr>
  </w:style>
  <w:style w:type="character" w:customStyle="1" w:styleId="HeaderChar">
    <w:name w:val="Header Char"/>
    <w:basedOn w:val="DefaultParagraphFont"/>
    <w:link w:val="Header"/>
    <w:rsid w:val="008A30B0"/>
    <w:rPr>
      <w:sz w:val="24"/>
    </w:rPr>
  </w:style>
  <w:style w:type="paragraph" w:styleId="Footer">
    <w:name w:val="footer"/>
    <w:basedOn w:val="Normal"/>
    <w:link w:val="FooterChar"/>
    <w:rsid w:val="008A30B0"/>
    <w:pPr>
      <w:tabs>
        <w:tab w:val="center" w:pos="4680"/>
        <w:tab w:val="right" w:pos="9360"/>
      </w:tabs>
    </w:pPr>
  </w:style>
  <w:style w:type="character" w:customStyle="1" w:styleId="FooterChar">
    <w:name w:val="Footer Char"/>
    <w:basedOn w:val="DefaultParagraphFont"/>
    <w:link w:val="Footer"/>
    <w:rsid w:val="008A30B0"/>
    <w:rPr>
      <w:sz w:val="24"/>
    </w:rPr>
  </w:style>
  <w:style w:type="character" w:styleId="PageNumber">
    <w:name w:val="page number"/>
    <w:basedOn w:val="DefaultParagraphFont"/>
    <w:rsid w:val="008A30B0"/>
  </w:style>
  <w:style w:type="paragraph" w:styleId="TOC3">
    <w:name w:val="toc 3"/>
    <w:basedOn w:val="Normal"/>
    <w:next w:val="Normal"/>
    <w:autoRedefine/>
    <w:rsid w:val="008A30B0"/>
    <w:pPr>
      <w:spacing w:after="100"/>
      <w:ind w:left="480"/>
    </w:pPr>
  </w:style>
  <w:style w:type="paragraph" w:styleId="TOC4">
    <w:name w:val="toc 4"/>
    <w:basedOn w:val="Normal"/>
    <w:next w:val="Normal"/>
    <w:autoRedefine/>
    <w:rsid w:val="008A30B0"/>
    <w:pPr>
      <w:spacing w:after="100"/>
      <w:ind w:left="720"/>
    </w:pPr>
  </w:style>
  <w:style w:type="paragraph" w:styleId="TOC6">
    <w:name w:val="toc 6"/>
    <w:basedOn w:val="Normal"/>
    <w:next w:val="Normal"/>
    <w:autoRedefine/>
    <w:rsid w:val="008A30B0"/>
    <w:pPr>
      <w:spacing w:after="100"/>
      <w:ind w:left="1200"/>
    </w:pPr>
  </w:style>
  <w:style w:type="paragraph" w:styleId="TOC7">
    <w:name w:val="toc 7"/>
    <w:basedOn w:val="Normal"/>
    <w:next w:val="Normal"/>
    <w:autoRedefine/>
    <w:rsid w:val="008A30B0"/>
    <w:pPr>
      <w:spacing w:after="100"/>
      <w:ind w:left="1440"/>
    </w:pPr>
  </w:style>
  <w:style w:type="paragraph" w:styleId="TOC8">
    <w:name w:val="toc 8"/>
    <w:basedOn w:val="Normal"/>
    <w:next w:val="Normal"/>
    <w:autoRedefine/>
    <w:rsid w:val="008A30B0"/>
    <w:pPr>
      <w:spacing w:after="100"/>
      <w:ind w:left="1680"/>
    </w:pPr>
  </w:style>
  <w:style w:type="paragraph" w:styleId="TOC9">
    <w:name w:val="toc 9"/>
    <w:basedOn w:val="Normal"/>
    <w:next w:val="Normal"/>
    <w:autoRedefine/>
    <w:rsid w:val="008A30B0"/>
    <w:pPr>
      <w:spacing w:after="100"/>
      <w:ind w:left="1920"/>
    </w:pPr>
  </w:style>
  <w:style w:type="paragraph" w:styleId="TOAHeading">
    <w:name w:val="toa heading"/>
    <w:basedOn w:val="Normal"/>
    <w:next w:val="Normal"/>
    <w:uiPriority w:val="99"/>
    <w:rsid w:val="008A30B0"/>
    <w:pPr>
      <w:spacing w:before="120"/>
    </w:pPr>
    <w:rPr>
      <w:rFonts w:asciiTheme="majorHAnsi" w:eastAsiaTheme="majorEastAsia" w:hAnsiTheme="majorHAnsi" w:cstheme="majorBidi"/>
      <w:bCs/>
      <w:i/>
      <w:szCs w:val="24"/>
    </w:rPr>
  </w:style>
  <w:style w:type="paragraph" w:styleId="TableofAuthorities">
    <w:name w:val="table of authorities"/>
    <w:basedOn w:val="Normal"/>
    <w:next w:val="Normal"/>
    <w:uiPriority w:val="99"/>
    <w:rsid w:val="008A30B0"/>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able of authorities" w:uiPriority="99"/>
    <w:lsdException w:name="toa heading"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74"/>
    <w:rPr>
      <w:sz w:val="24"/>
    </w:rPr>
  </w:style>
  <w:style w:type="paragraph" w:styleId="Heading1">
    <w:name w:val="heading 1"/>
    <w:basedOn w:val="Normal"/>
    <w:next w:val="Normal"/>
    <w:qFormat/>
    <w:rsid w:val="00C305D1"/>
    <w:pPr>
      <w:keepNext/>
      <w:spacing w:after="240"/>
      <w:jc w:val="center"/>
      <w:outlineLvl w:val="0"/>
    </w:pPr>
    <w:rPr>
      <w:b/>
      <w:kern w:val="28"/>
      <w:sz w:val="28"/>
      <w:u w:val="single"/>
    </w:rPr>
  </w:style>
  <w:style w:type="paragraph" w:styleId="Heading2">
    <w:name w:val="heading 2"/>
    <w:basedOn w:val="Normal"/>
    <w:next w:val="Normal"/>
    <w:qFormat/>
    <w:rsid w:val="00C305D1"/>
    <w:pPr>
      <w:keepNext/>
      <w:spacing w:before="240" w:after="60"/>
      <w:outlineLvl w:val="1"/>
    </w:pPr>
    <w:rPr>
      <w:b/>
    </w:rPr>
  </w:style>
  <w:style w:type="paragraph" w:styleId="Heading3">
    <w:name w:val="heading 3"/>
    <w:basedOn w:val="Normal"/>
    <w:next w:val="Normal"/>
    <w:qFormat/>
    <w:rsid w:val="00C305D1"/>
    <w:pPr>
      <w:keepNext/>
      <w:spacing w:before="240" w:after="60"/>
      <w:ind w:right="14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C305D1"/>
    <w:pPr>
      <w:numPr>
        <w:numId w:val="15"/>
      </w:numPr>
      <w:spacing w:after="240"/>
      <w:ind w:right="1008"/>
      <w:jc w:val="both"/>
    </w:pPr>
    <w:rPr>
      <w:b/>
      <w:caps/>
      <w:szCs w:val="24"/>
    </w:rPr>
  </w:style>
  <w:style w:type="paragraph" w:customStyle="1" w:styleId="Citation">
    <w:name w:val="Citation"/>
    <w:basedOn w:val="Normal"/>
    <w:rsid w:val="00C305D1"/>
    <w:pPr>
      <w:tabs>
        <w:tab w:val="right" w:leader="dot" w:pos="9360"/>
      </w:tabs>
      <w:ind w:left="360" w:hanging="360"/>
    </w:pPr>
  </w:style>
  <w:style w:type="paragraph" w:styleId="FootnoteText">
    <w:name w:val="footnote text"/>
    <w:basedOn w:val="Normal"/>
    <w:semiHidden/>
    <w:rsid w:val="00C305D1"/>
    <w:pPr>
      <w:keepLines/>
      <w:spacing w:line="240" w:lineRule="exact"/>
      <w:jc w:val="both"/>
    </w:pPr>
  </w:style>
  <w:style w:type="paragraph" w:styleId="TOC5">
    <w:name w:val="toc 5"/>
    <w:basedOn w:val="Normal"/>
    <w:next w:val="Normal"/>
    <w:uiPriority w:val="39"/>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qFormat/>
    <w:rsid w:val="00C305D1"/>
    <w:pPr>
      <w:spacing w:line="480" w:lineRule="auto"/>
    </w:pPr>
  </w:style>
  <w:style w:type="paragraph" w:customStyle="1" w:styleId="BlockQuote">
    <w:name w:val="Block Quote"/>
    <w:basedOn w:val="Normal"/>
    <w:rsid w:val="00C305D1"/>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character" w:styleId="FootnoteReference">
    <w:name w:val="footnote reference"/>
    <w:basedOn w:val="DefaultParagraphFont"/>
    <w:rsid w:val="00E135E6"/>
    <w:rPr>
      <w:vertAlign w:val="superscript"/>
    </w:rPr>
  </w:style>
  <w:style w:type="paragraph" w:styleId="ListParagraph">
    <w:name w:val="List Paragraph"/>
    <w:basedOn w:val="Normal"/>
    <w:uiPriority w:val="34"/>
    <w:qFormat/>
    <w:rsid w:val="00305049"/>
    <w:pPr>
      <w:ind w:left="720"/>
    </w:pPr>
    <w:rPr>
      <w:sz w:val="20"/>
    </w:rPr>
  </w:style>
  <w:style w:type="paragraph" w:customStyle="1" w:styleId="Body">
    <w:name w:val="Body"/>
    <w:rsid w:val="00E37FEF"/>
    <w:rPr>
      <w:rFonts w:ascii="Helvetica" w:eastAsia="ヒラギノ角ゴ Pro W3" w:hAnsi="Helvetica"/>
      <w:color w:val="000000"/>
      <w:sz w:val="24"/>
    </w:rPr>
  </w:style>
  <w:style w:type="paragraph" w:styleId="Header">
    <w:name w:val="header"/>
    <w:basedOn w:val="Normal"/>
    <w:link w:val="HeaderChar"/>
    <w:rsid w:val="008A30B0"/>
    <w:pPr>
      <w:tabs>
        <w:tab w:val="center" w:pos="4680"/>
        <w:tab w:val="right" w:pos="9360"/>
      </w:tabs>
    </w:pPr>
  </w:style>
  <w:style w:type="character" w:customStyle="1" w:styleId="HeaderChar">
    <w:name w:val="Header Char"/>
    <w:basedOn w:val="DefaultParagraphFont"/>
    <w:link w:val="Header"/>
    <w:rsid w:val="008A30B0"/>
    <w:rPr>
      <w:sz w:val="24"/>
    </w:rPr>
  </w:style>
  <w:style w:type="paragraph" w:styleId="Footer">
    <w:name w:val="footer"/>
    <w:basedOn w:val="Normal"/>
    <w:link w:val="FooterChar"/>
    <w:rsid w:val="008A30B0"/>
    <w:pPr>
      <w:tabs>
        <w:tab w:val="center" w:pos="4680"/>
        <w:tab w:val="right" w:pos="9360"/>
      </w:tabs>
    </w:pPr>
  </w:style>
  <w:style w:type="character" w:customStyle="1" w:styleId="FooterChar">
    <w:name w:val="Footer Char"/>
    <w:basedOn w:val="DefaultParagraphFont"/>
    <w:link w:val="Footer"/>
    <w:rsid w:val="008A30B0"/>
    <w:rPr>
      <w:sz w:val="24"/>
    </w:rPr>
  </w:style>
  <w:style w:type="character" w:styleId="PageNumber">
    <w:name w:val="page number"/>
    <w:basedOn w:val="DefaultParagraphFont"/>
    <w:rsid w:val="008A30B0"/>
  </w:style>
  <w:style w:type="paragraph" w:styleId="TOC3">
    <w:name w:val="toc 3"/>
    <w:basedOn w:val="Normal"/>
    <w:next w:val="Normal"/>
    <w:autoRedefine/>
    <w:rsid w:val="008A30B0"/>
    <w:pPr>
      <w:spacing w:after="100"/>
      <w:ind w:left="480"/>
    </w:pPr>
  </w:style>
  <w:style w:type="paragraph" w:styleId="TOC4">
    <w:name w:val="toc 4"/>
    <w:basedOn w:val="Normal"/>
    <w:next w:val="Normal"/>
    <w:autoRedefine/>
    <w:rsid w:val="008A30B0"/>
    <w:pPr>
      <w:spacing w:after="100"/>
      <w:ind w:left="720"/>
    </w:pPr>
  </w:style>
  <w:style w:type="paragraph" w:styleId="TOC6">
    <w:name w:val="toc 6"/>
    <w:basedOn w:val="Normal"/>
    <w:next w:val="Normal"/>
    <w:autoRedefine/>
    <w:rsid w:val="008A30B0"/>
    <w:pPr>
      <w:spacing w:after="100"/>
      <w:ind w:left="1200"/>
    </w:pPr>
  </w:style>
  <w:style w:type="paragraph" w:styleId="TOC7">
    <w:name w:val="toc 7"/>
    <w:basedOn w:val="Normal"/>
    <w:next w:val="Normal"/>
    <w:autoRedefine/>
    <w:rsid w:val="008A30B0"/>
    <w:pPr>
      <w:spacing w:after="100"/>
      <w:ind w:left="1440"/>
    </w:pPr>
  </w:style>
  <w:style w:type="paragraph" w:styleId="TOC8">
    <w:name w:val="toc 8"/>
    <w:basedOn w:val="Normal"/>
    <w:next w:val="Normal"/>
    <w:autoRedefine/>
    <w:rsid w:val="008A30B0"/>
    <w:pPr>
      <w:spacing w:after="100"/>
      <w:ind w:left="1680"/>
    </w:pPr>
  </w:style>
  <w:style w:type="paragraph" w:styleId="TOC9">
    <w:name w:val="toc 9"/>
    <w:basedOn w:val="Normal"/>
    <w:next w:val="Normal"/>
    <w:autoRedefine/>
    <w:rsid w:val="008A30B0"/>
    <w:pPr>
      <w:spacing w:after="100"/>
      <w:ind w:left="1920"/>
    </w:pPr>
  </w:style>
  <w:style w:type="paragraph" w:styleId="TOAHeading">
    <w:name w:val="toa heading"/>
    <w:basedOn w:val="Normal"/>
    <w:next w:val="Normal"/>
    <w:uiPriority w:val="99"/>
    <w:rsid w:val="008A30B0"/>
    <w:pPr>
      <w:spacing w:before="120"/>
    </w:pPr>
    <w:rPr>
      <w:rFonts w:asciiTheme="majorHAnsi" w:eastAsiaTheme="majorEastAsia" w:hAnsiTheme="majorHAnsi" w:cstheme="majorBidi"/>
      <w:bCs/>
      <w:i/>
      <w:szCs w:val="24"/>
    </w:rPr>
  </w:style>
  <w:style w:type="paragraph" w:styleId="TableofAuthorities">
    <w:name w:val="table of authorities"/>
    <w:basedOn w:val="Normal"/>
    <w:next w:val="Normal"/>
    <w:uiPriority w:val="99"/>
    <w:rsid w:val="008A30B0"/>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D1E4-69A6-46A5-845D-EF1B4239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CAFFB47C.dotm</Template>
  <TotalTime>0</TotalTime>
  <Pages>18</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People v Deron Allen James-NA-9/22/2015</vt:lpstr>
    </vt:vector>
  </TitlesOfParts>
  <Company>State Appellate Defender Office</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 Deron Allen James-NA-9/22/2015</dc:title>
  <dc:subject>1: DID THE TRIAL COURT IMPOSE AN UNREASONABLE SENTENCE</dc:subject>
  <dc:creator>Anne M. Yantus</dc:creator>
  <dc:description>1: DID THE TRIAL COURT IMPOSE AN UNREASONABLE SENTENCE OF 17 TO 25 YEARS IMPRISONMENT FOR THE CRIME OF STEALING LESS THAN $200 WHILE “ARMED” WHERE THIS MIDDLE-AGE HABITUAL OFFENDER HAD HIS HAND IN HIS POCKET WITH NO ACTUAL WEAPON?_x000d__x000d_
_x000d_
2: THE TRIAL COURT IMPOSED AN UNREASONABLE SENTENCE OF 17 TO 25 YEARS IMPRISONMENT FOR THE CRIME OF STEALING LESS THAN $200 WHILE “ARMED” WHERE THIS MIDDLE-AGE HABITUAL OFFENDER HAD HIS HAND IN HIS POCKET WITH NO ACTUAL WEAPON.</dc:description>
  <cp:lastModifiedBy>Marilena David-Martin</cp:lastModifiedBy>
  <cp:revision>2</cp:revision>
  <dcterms:created xsi:type="dcterms:W3CDTF">2015-09-25T21:36:00Z</dcterms:created>
  <dcterms:modified xsi:type="dcterms:W3CDTF">2015-09-25T21:36:00Z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c170a45f-5e77-4724-9ebd-7ef7ec7861d1</vt:lpwstr>
  </property>
  <property fmtid="{D5CDD505-2E9C-101B-9397-08002B2CF9AE}" pid="3" name="BriefBank">
    <vt:lpwstr>258251</vt:lpwstr>
  </property>
  <property fmtid="{D5CDD505-2E9C-101B-9397-08002B2CF9AE}" pid="4" name="Type">
    <vt:lpwstr>Unpublished MI Court of Appeals</vt:lpwstr>
  </property>
  <property fmtid="{D5CDD505-2E9C-101B-9397-08002B2CF9AE}" pid="5" name="County">
    <vt:lpwstr/>
  </property>
  <property fmtid="{D5CDD505-2E9C-101B-9397-08002B2CF9AE}" pid="6" name="PleadingTitle">
    <vt:lpwstr>Summary of Unpublished Court of Appeals Opinion</vt:lpwstr>
  </property>
  <property fmtid="{D5CDD505-2E9C-101B-9397-08002B2CF9AE}" pid="7" name="Docket">
    <vt:lpwstr>14-786 FC</vt:lpwstr>
  </property>
  <property fmtid="{D5CDD505-2E9C-101B-9397-08002B2CF9AE}" pid="8" name="Court">
    <vt:lpwstr>NA</vt:lpwstr>
  </property>
  <property fmtid="{D5CDD505-2E9C-101B-9397-08002B2CF9AE}" pid="9" name="Date1">
    <vt:filetime>2015-09-22T04:00:00Z</vt:filetime>
  </property>
  <property fmtid="{D5CDD505-2E9C-101B-9397-08002B2CF9AE}" pid="10" name="Judges">
    <vt:lpwstr/>
  </property>
  <property fmtid="{D5CDD505-2E9C-101B-9397-08002B2CF9AE}" pid="11" name="Attorney">
    <vt:lpwstr>Anne M. Yantus</vt:lpwstr>
  </property>
  <property fmtid="{D5CDD505-2E9C-101B-9397-08002B2CF9AE}" pid="12" name="Defendant">
    <vt:lpwstr>Deron Allen James</vt:lpwstr>
  </property>
  <property fmtid="{D5CDD505-2E9C-101B-9397-08002B2CF9AE}" pid="13" name="Citation">
    <vt:lpwstr/>
  </property>
  <property fmtid="{D5CDD505-2E9C-101B-9397-08002B2CF9AE}" pid="14" name="IDEN">
    <vt:i4>28543</vt:i4>
  </property>
</Properties>
</file>