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DA" w:rsidRDefault="00EC48DA" w:rsidP="00EC48DA">
      <w:pPr>
        <w:rPr>
          <w:rFonts w:ascii="Arial" w:hAnsi="Arial" w:cs="Arial"/>
          <w:sz w:val="20"/>
        </w:rPr>
      </w:pPr>
      <w:r>
        <w:rPr>
          <w:rFonts w:ascii="Arial" w:hAnsi="Arial" w:cs="Arial"/>
          <w:sz w:val="20"/>
        </w:rPr>
        <w:t>Court of Appeals Docket Number 318329</w:t>
      </w:r>
    </w:p>
    <w:p w:rsidR="001A2669" w:rsidRPr="00EC48DA" w:rsidRDefault="00EC48DA" w:rsidP="00EC48DA">
      <w:pPr>
        <w:rPr>
          <w:rFonts w:ascii="Arial" w:hAnsi="Arial" w:cs="Arial"/>
          <w:sz w:val="20"/>
        </w:rPr>
      </w:pPr>
      <w:r>
        <w:rPr>
          <w:rFonts w:ascii="Arial" w:hAnsi="Arial" w:cs="Arial"/>
          <w:sz w:val="20"/>
        </w:rPr>
        <w:t>BB 256853</w:t>
      </w:r>
    </w:p>
    <w:p w:rsidR="00EC48DA" w:rsidRDefault="00EC48DA"/>
    <w:p w:rsidR="001A5B78" w:rsidRDefault="00171071" w:rsidP="00171071">
      <w:pPr>
        <w:pStyle w:val="Heading1"/>
        <w:rPr>
          <w:u w:color="000000"/>
        </w:rPr>
      </w:pPr>
      <w:bookmarkStart w:id="0" w:name="TOC"/>
      <w:bookmarkStart w:id="1" w:name="_Toc428780920"/>
      <w:bookmarkEnd w:id="0"/>
      <w:r>
        <w:rPr>
          <w:u w:color="000000"/>
        </w:rPr>
        <w:t>TABLE OF CONTENTS</w:t>
      </w:r>
      <w:bookmarkEnd w:id="1"/>
    </w:p>
    <w:p w:rsidR="00171071" w:rsidRDefault="00171071" w:rsidP="00171071"/>
    <w:bookmarkStart w:id="2" w:name="LegalTOC"/>
    <w:p w:rsidR="00171071" w:rsidRPr="00171071" w:rsidRDefault="00171071" w:rsidP="00171071">
      <w:pPr>
        <w:pStyle w:val="TOC5"/>
        <w:rPr>
          <w:rFonts w:asciiTheme="minorHAnsi" w:eastAsiaTheme="minorEastAsia" w:hAnsiTheme="minorHAnsi" w:cstheme="minorBidi"/>
          <w:b/>
          <w:sz w:val="22"/>
          <w:szCs w:val="22"/>
        </w:rPr>
      </w:pPr>
      <w:r>
        <w:fldChar w:fldCharType="begin"/>
      </w:r>
      <w:r>
        <w:instrText xml:space="preserve"> TOC \o "2-2" \t "Heading 1,5,ISSUE,5" </w:instrText>
      </w:r>
      <w:r>
        <w:fldChar w:fldCharType="separate"/>
      </w:r>
      <w:r w:rsidRPr="00171071">
        <w:rPr>
          <w:b/>
          <w:color w:val="000000"/>
          <w:u w:color="000000"/>
        </w:rPr>
        <w:t xml:space="preserve">TABLE OF </w:t>
      </w:r>
      <w:r w:rsidR="001A2669">
        <w:rPr>
          <w:b/>
          <w:color w:val="000000"/>
          <w:u w:color="000000"/>
        </w:rPr>
        <w:t>AUTHORITIES</w:t>
      </w:r>
      <w:r w:rsidRPr="00171071">
        <w:rPr>
          <w:b/>
        </w:rPr>
        <w:tab/>
      </w:r>
      <w:r w:rsidRPr="00171071">
        <w:rPr>
          <w:b/>
        </w:rPr>
        <w:fldChar w:fldCharType="begin"/>
      </w:r>
      <w:r w:rsidRPr="00171071">
        <w:rPr>
          <w:b/>
        </w:rPr>
        <w:instrText xml:space="preserve"> PAGEREF _Toc428780920 \h </w:instrText>
      </w:r>
      <w:r w:rsidRPr="00171071">
        <w:rPr>
          <w:b/>
        </w:rPr>
      </w:r>
      <w:r w:rsidRPr="00171071">
        <w:rPr>
          <w:b/>
        </w:rPr>
        <w:fldChar w:fldCharType="separate"/>
      </w:r>
      <w:r w:rsidRPr="00171071">
        <w:rPr>
          <w:b/>
        </w:rPr>
        <w:t>2</w:t>
      </w:r>
      <w:r w:rsidRPr="00171071">
        <w:rPr>
          <w:b/>
        </w:rPr>
        <w:fldChar w:fldCharType="end"/>
      </w:r>
    </w:p>
    <w:p w:rsidR="00171071" w:rsidRPr="00171071" w:rsidRDefault="00171071" w:rsidP="00171071">
      <w:pPr>
        <w:pStyle w:val="TOC5"/>
        <w:rPr>
          <w:rFonts w:asciiTheme="minorHAnsi" w:eastAsiaTheme="minorEastAsia" w:hAnsiTheme="minorHAnsi" w:cstheme="minorBidi"/>
          <w:b/>
          <w:sz w:val="22"/>
          <w:szCs w:val="22"/>
        </w:rPr>
      </w:pPr>
      <w:r w:rsidRPr="00171071">
        <w:rPr>
          <w:b/>
        </w:rPr>
        <w:t>STATEMENT OF JURISDICTION</w:t>
      </w:r>
      <w:r w:rsidRPr="00171071">
        <w:rPr>
          <w:b/>
        </w:rPr>
        <w:tab/>
      </w:r>
      <w:r w:rsidRPr="00171071">
        <w:rPr>
          <w:b/>
        </w:rPr>
        <w:fldChar w:fldCharType="begin"/>
      </w:r>
      <w:r w:rsidRPr="00171071">
        <w:rPr>
          <w:b/>
        </w:rPr>
        <w:instrText xml:space="preserve"> PAGEREF _Toc428780921 \h </w:instrText>
      </w:r>
      <w:r w:rsidRPr="00171071">
        <w:rPr>
          <w:b/>
        </w:rPr>
      </w:r>
      <w:r w:rsidRPr="00171071">
        <w:rPr>
          <w:b/>
        </w:rPr>
        <w:fldChar w:fldCharType="separate"/>
      </w:r>
      <w:r w:rsidRPr="00171071">
        <w:rPr>
          <w:b/>
        </w:rPr>
        <w:t>ii</w:t>
      </w:r>
      <w:r w:rsidRPr="00171071">
        <w:rPr>
          <w:b/>
        </w:rPr>
        <w:fldChar w:fldCharType="end"/>
      </w:r>
    </w:p>
    <w:p w:rsidR="00171071" w:rsidRPr="00171071" w:rsidRDefault="00171071" w:rsidP="00171071">
      <w:pPr>
        <w:pStyle w:val="TOC5"/>
        <w:rPr>
          <w:rFonts w:asciiTheme="minorHAnsi" w:eastAsiaTheme="minorEastAsia" w:hAnsiTheme="minorHAnsi" w:cstheme="minorBidi"/>
          <w:b/>
          <w:sz w:val="22"/>
          <w:szCs w:val="22"/>
        </w:rPr>
      </w:pPr>
      <w:r w:rsidRPr="00171071">
        <w:rPr>
          <w:b/>
        </w:rPr>
        <w:t>STATEMENT OF QUESTIONS PRESENTED</w:t>
      </w:r>
      <w:r w:rsidRPr="00171071">
        <w:rPr>
          <w:b/>
        </w:rPr>
        <w:tab/>
      </w:r>
      <w:r w:rsidRPr="00171071">
        <w:rPr>
          <w:b/>
        </w:rPr>
        <w:fldChar w:fldCharType="begin"/>
      </w:r>
      <w:r w:rsidRPr="00171071">
        <w:rPr>
          <w:b/>
        </w:rPr>
        <w:instrText xml:space="preserve"> PAGEREF _Toc428780922 \h </w:instrText>
      </w:r>
      <w:r w:rsidRPr="00171071">
        <w:rPr>
          <w:b/>
        </w:rPr>
      </w:r>
      <w:r w:rsidRPr="00171071">
        <w:rPr>
          <w:b/>
        </w:rPr>
        <w:fldChar w:fldCharType="separate"/>
      </w:r>
      <w:r w:rsidRPr="00171071">
        <w:rPr>
          <w:b/>
        </w:rPr>
        <w:t>iii</w:t>
      </w:r>
      <w:r w:rsidRPr="00171071">
        <w:rPr>
          <w:b/>
        </w:rPr>
        <w:fldChar w:fldCharType="end"/>
      </w:r>
    </w:p>
    <w:p w:rsidR="00171071" w:rsidRPr="00171071" w:rsidRDefault="00171071" w:rsidP="00171071">
      <w:pPr>
        <w:pStyle w:val="TOC5"/>
        <w:rPr>
          <w:rFonts w:asciiTheme="minorHAnsi" w:eastAsiaTheme="minorEastAsia" w:hAnsiTheme="minorHAnsi" w:cstheme="minorBidi"/>
          <w:b/>
          <w:sz w:val="22"/>
          <w:szCs w:val="22"/>
        </w:rPr>
      </w:pPr>
      <w:r w:rsidRPr="00171071">
        <w:rPr>
          <w:b/>
          <w:color w:val="000000"/>
          <w:u w:color="000000"/>
        </w:rPr>
        <w:t>STATEMENT OF FACTS</w:t>
      </w:r>
      <w:r w:rsidRPr="00171071">
        <w:rPr>
          <w:b/>
        </w:rPr>
        <w:tab/>
      </w:r>
      <w:r w:rsidRPr="00171071">
        <w:rPr>
          <w:b/>
        </w:rPr>
        <w:fldChar w:fldCharType="begin"/>
      </w:r>
      <w:r w:rsidRPr="00171071">
        <w:rPr>
          <w:b/>
        </w:rPr>
        <w:instrText xml:space="preserve"> PAGEREF _Toc428780923 \h </w:instrText>
      </w:r>
      <w:r w:rsidRPr="00171071">
        <w:rPr>
          <w:b/>
        </w:rPr>
      </w:r>
      <w:r w:rsidRPr="00171071">
        <w:rPr>
          <w:b/>
        </w:rPr>
        <w:fldChar w:fldCharType="separate"/>
      </w:r>
      <w:r w:rsidRPr="00171071">
        <w:rPr>
          <w:b/>
        </w:rPr>
        <w:t>1</w:t>
      </w:r>
      <w:r w:rsidRPr="00171071">
        <w:rPr>
          <w:b/>
        </w:rPr>
        <w:fldChar w:fldCharType="end"/>
      </w:r>
    </w:p>
    <w:p w:rsidR="00171071" w:rsidRPr="00171071" w:rsidRDefault="00171071" w:rsidP="00171071">
      <w:pPr>
        <w:pStyle w:val="TOC5"/>
        <w:rPr>
          <w:rFonts w:asciiTheme="minorHAnsi" w:eastAsiaTheme="minorEastAsia" w:hAnsiTheme="minorHAnsi" w:cstheme="minorBidi"/>
          <w:b/>
          <w:sz w:val="22"/>
          <w:szCs w:val="22"/>
        </w:rPr>
      </w:pPr>
      <w:r w:rsidRPr="00171071">
        <w:rPr>
          <w:b/>
          <w:color w:val="000000"/>
          <w:u w:color="000000"/>
        </w:rPr>
        <w:t>I.</w:t>
      </w:r>
      <w:r w:rsidRPr="00171071">
        <w:rPr>
          <w:rFonts w:asciiTheme="minorHAnsi" w:eastAsiaTheme="minorEastAsia" w:hAnsiTheme="minorHAnsi" w:cstheme="minorBidi"/>
          <w:b/>
          <w:sz w:val="22"/>
          <w:szCs w:val="22"/>
        </w:rPr>
        <w:tab/>
      </w:r>
      <w:r w:rsidRPr="00171071">
        <w:rPr>
          <w:b/>
          <w:color w:val="000000"/>
          <w:u w:color="000000"/>
        </w:rPr>
        <w:t>THE SENTENCE IMPOSED ON DEFENDANT FOR ASSAULT WITH INTENT TO MUR</w:t>
      </w:r>
      <w:r w:rsidR="00C851DF">
        <w:rPr>
          <w:b/>
          <w:color w:val="000000"/>
          <w:u w:color="000000"/>
        </w:rPr>
        <w:t>DER I</w:t>
      </w:r>
      <w:r w:rsidRPr="00171071">
        <w:rPr>
          <w:b/>
          <w:color w:val="000000"/>
          <w:u w:color="000000"/>
        </w:rPr>
        <w:t>S BOTH PROCEDURALLY AND SUBSTANTIVELY UNREASONABLE.</w:t>
      </w:r>
      <w:r w:rsidRPr="00171071">
        <w:rPr>
          <w:b/>
        </w:rPr>
        <w:tab/>
      </w:r>
      <w:r w:rsidRPr="00171071">
        <w:rPr>
          <w:b/>
        </w:rPr>
        <w:fldChar w:fldCharType="begin"/>
      </w:r>
      <w:r w:rsidRPr="00171071">
        <w:rPr>
          <w:b/>
        </w:rPr>
        <w:instrText xml:space="preserve"> PAGEREF _Toc428780924 \h </w:instrText>
      </w:r>
      <w:r w:rsidRPr="00171071">
        <w:rPr>
          <w:b/>
        </w:rPr>
      </w:r>
      <w:r w:rsidRPr="00171071">
        <w:rPr>
          <w:b/>
        </w:rPr>
        <w:fldChar w:fldCharType="separate"/>
      </w:r>
      <w:r w:rsidRPr="00171071">
        <w:rPr>
          <w:b/>
        </w:rPr>
        <w:t>2</w:t>
      </w:r>
      <w:r w:rsidRPr="00171071">
        <w:rPr>
          <w:b/>
        </w:rPr>
        <w:fldChar w:fldCharType="end"/>
      </w:r>
    </w:p>
    <w:p w:rsidR="00171071" w:rsidRPr="00171071" w:rsidRDefault="00171071" w:rsidP="00171071">
      <w:pPr>
        <w:pStyle w:val="TOC5"/>
        <w:rPr>
          <w:rFonts w:asciiTheme="minorHAnsi" w:eastAsiaTheme="minorEastAsia" w:hAnsiTheme="minorHAnsi" w:cstheme="minorBidi"/>
          <w:b/>
          <w:sz w:val="22"/>
          <w:szCs w:val="22"/>
        </w:rPr>
      </w:pPr>
      <w:r w:rsidRPr="00171071">
        <w:rPr>
          <w:b/>
        </w:rPr>
        <w:t>SUMMARY AND RELIEF REQUEST</w:t>
      </w:r>
      <w:r w:rsidR="001A2669">
        <w:rPr>
          <w:b/>
        </w:rPr>
        <w:t>ED</w:t>
      </w:r>
      <w:r w:rsidRPr="00171071">
        <w:rPr>
          <w:b/>
        </w:rPr>
        <w:tab/>
      </w:r>
      <w:r w:rsidRPr="00171071">
        <w:rPr>
          <w:b/>
        </w:rPr>
        <w:fldChar w:fldCharType="begin"/>
      </w:r>
      <w:r w:rsidRPr="00171071">
        <w:rPr>
          <w:b/>
        </w:rPr>
        <w:instrText xml:space="preserve"> PAGEREF _Toc428780925 \h </w:instrText>
      </w:r>
      <w:r w:rsidRPr="00171071">
        <w:rPr>
          <w:b/>
        </w:rPr>
      </w:r>
      <w:r w:rsidRPr="00171071">
        <w:rPr>
          <w:b/>
        </w:rPr>
        <w:fldChar w:fldCharType="separate"/>
      </w:r>
      <w:r w:rsidRPr="00171071">
        <w:rPr>
          <w:b/>
        </w:rPr>
        <w:t>10</w:t>
      </w:r>
      <w:r w:rsidRPr="00171071">
        <w:rPr>
          <w:b/>
        </w:rPr>
        <w:fldChar w:fldCharType="end"/>
      </w:r>
    </w:p>
    <w:p w:rsidR="00171071" w:rsidRDefault="00171071" w:rsidP="00171071">
      <w:r>
        <w:fldChar w:fldCharType="end"/>
      </w:r>
      <w:bookmarkEnd w:id="2"/>
    </w:p>
    <w:p w:rsidR="00171071" w:rsidRDefault="00171071" w:rsidP="00171071"/>
    <w:p w:rsidR="00171071" w:rsidRDefault="00171071" w:rsidP="00171071">
      <w:r>
        <w:fldChar w:fldCharType="begin">
          <w:ffData>
            <w:name w:val="SATY_UPPER"/>
            <w:enabled/>
            <w:calcOnExit w:val="0"/>
            <w:textInput/>
          </w:ffData>
        </w:fldChar>
      </w:r>
      <w:bookmarkStart w:id="3" w:name="SATY_UPPER"/>
      <w:r>
        <w:instrText xml:space="preserve"> FORMTEXT </w:instrText>
      </w:r>
      <w:r>
        <w:fldChar w:fldCharType="separate"/>
      </w:r>
      <w:proofErr w:type="spellStart"/>
      <w:r w:rsidR="001A2669">
        <w:t>CKG</w:t>
      </w:r>
      <w:proofErr w:type="spellEnd"/>
      <w:r>
        <w:fldChar w:fldCharType="end"/>
      </w:r>
      <w:bookmarkEnd w:id="3"/>
      <w:r>
        <w:t>*Supplemental Brief.docx*</w:t>
      </w:r>
      <w:r>
        <w:fldChar w:fldCharType="begin">
          <w:ffData>
            <w:name w:val="IDEN_No"/>
            <w:enabled/>
            <w:calcOnExit w:val="0"/>
            <w:textInput/>
          </w:ffData>
        </w:fldChar>
      </w:r>
      <w:bookmarkStart w:id="4" w:name="IDEN_No"/>
      <w:r>
        <w:instrText xml:space="preserve"> FORMTEXT </w:instrText>
      </w:r>
      <w:r>
        <w:fldChar w:fldCharType="separate"/>
      </w:r>
      <w:r w:rsidR="001A2669">
        <w:t>26319</w:t>
      </w:r>
      <w:r>
        <w:fldChar w:fldCharType="end"/>
      </w:r>
      <w:bookmarkEnd w:id="4"/>
      <w:r>
        <w:t xml:space="preserve">  </w:t>
      </w:r>
      <w:r>
        <w:fldChar w:fldCharType="begin">
          <w:ffData>
            <w:name w:val="Date_for_Pleading"/>
            <w:enabled/>
            <w:calcOnExit w:val="0"/>
            <w:textInput/>
          </w:ffData>
        </w:fldChar>
      </w:r>
      <w:bookmarkStart w:id="5" w:name="Date_for_Pleading"/>
      <w:r>
        <w:instrText xml:space="preserve"> FORMTEXT </w:instrText>
      </w:r>
      <w:r>
        <w:fldChar w:fldCharType="separate"/>
      </w:r>
      <w:r w:rsidR="001A2669">
        <w:t>August 31, 2015</w:t>
      </w:r>
      <w:r>
        <w:fldChar w:fldCharType="end"/>
      </w:r>
      <w:bookmarkEnd w:id="5"/>
    </w:p>
    <w:p w:rsidR="00171071" w:rsidRPr="00171071" w:rsidRDefault="00171071" w:rsidP="00171071">
      <w:pPr>
        <w:pStyle w:val="Heading1"/>
      </w:pPr>
    </w:p>
    <w:p w:rsidR="001A5B78" w:rsidRDefault="001A5B78" w:rsidP="009B5AA1">
      <w:pPr>
        <w:pStyle w:val="Heading1"/>
        <w:rPr>
          <w:color w:val="000000"/>
          <w:u w:color="000000"/>
        </w:rPr>
        <w:sectPr w:rsidR="001A5B78" w:rsidSect="001A2669">
          <w:footerReference w:type="even" r:id="rId8"/>
          <w:pgSz w:w="12240" w:h="15840"/>
          <w:pgMar w:top="640" w:right="1440" w:bottom="640" w:left="1440" w:header="0" w:footer="720" w:gutter="0"/>
          <w:cols w:space="720"/>
          <w:docGrid w:linePitch="326"/>
        </w:sectPr>
      </w:pPr>
    </w:p>
    <w:p w:rsidR="001A2669" w:rsidRDefault="001A2669" w:rsidP="001A2669">
      <w:pPr>
        <w:pStyle w:val="TOAHeading"/>
        <w:tabs>
          <w:tab w:val="right" w:leader="dot" w:pos="9350"/>
        </w:tabs>
        <w:jc w:val="center"/>
      </w:pPr>
      <w:bookmarkStart w:id="6" w:name="TOA"/>
      <w:bookmarkEnd w:id="6"/>
      <w:r>
        <w:lastRenderedPageBreak/>
        <w:t>TABLE OF AUTHORITIES</w:t>
      </w:r>
    </w:p>
    <w:p w:rsidR="001A2669" w:rsidRDefault="001A2669" w:rsidP="001A2669">
      <w:pPr>
        <w:pStyle w:val="TOAHeading"/>
        <w:tabs>
          <w:tab w:val="right" w:leader="dot" w:pos="9350"/>
        </w:tabs>
        <w:rPr>
          <w:noProof/>
        </w:rPr>
      </w:pPr>
      <w:r>
        <w:fldChar w:fldCharType="begin"/>
      </w:r>
      <w:r>
        <w:instrText xml:space="preserve"> TOA \h \c "3" \p </w:instrText>
      </w:r>
      <w:r>
        <w:fldChar w:fldCharType="separate"/>
      </w:r>
      <w:r>
        <w:rPr>
          <w:noProof/>
        </w:rPr>
        <w:t>Cases</w:t>
      </w:r>
    </w:p>
    <w:p w:rsidR="001A2669" w:rsidRPr="001A2669" w:rsidRDefault="001A2669" w:rsidP="001A2669">
      <w:pPr>
        <w:rPr>
          <w:rFonts w:eastAsiaTheme="minorEastAsia"/>
        </w:rPr>
      </w:pPr>
    </w:p>
    <w:p w:rsidR="001A2669" w:rsidRDefault="001A2669" w:rsidP="001A2669">
      <w:pPr>
        <w:pStyle w:val="TableofAuthorities"/>
        <w:tabs>
          <w:tab w:val="right" w:leader="dot" w:pos="9350"/>
        </w:tabs>
        <w:rPr>
          <w:noProof/>
        </w:rPr>
      </w:pPr>
      <w:r w:rsidRPr="00F94F9F">
        <w:rPr>
          <w:i/>
          <w:noProof/>
          <w:color w:val="000000"/>
          <w:u w:color="000000"/>
        </w:rPr>
        <w:t>Gall v United States</w:t>
      </w:r>
      <w:r w:rsidRPr="00F94F9F">
        <w:rPr>
          <w:noProof/>
          <w:color w:val="000000"/>
          <w:u w:color="000000"/>
        </w:rPr>
        <w:t>, 552 US 38</w:t>
      </w:r>
      <w:r>
        <w:rPr>
          <w:noProof/>
        </w:rPr>
        <w:tab/>
        <w:t>2, 4, 5, 7</w:t>
      </w:r>
    </w:p>
    <w:p w:rsidR="001A2669" w:rsidRDefault="001A2669" w:rsidP="001A2669">
      <w:pPr>
        <w:pStyle w:val="TableofAuthorities"/>
        <w:tabs>
          <w:tab w:val="right" w:leader="dot" w:pos="9350"/>
        </w:tabs>
        <w:rPr>
          <w:noProof/>
        </w:rPr>
      </w:pPr>
      <w:r w:rsidRPr="00F94F9F">
        <w:rPr>
          <w:i/>
          <w:noProof/>
          <w:color w:val="000000"/>
          <w:u w:color="000000"/>
        </w:rPr>
        <w:t>People v Hicks</w:t>
      </w:r>
      <w:r w:rsidRPr="00F94F9F">
        <w:rPr>
          <w:noProof/>
          <w:color w:val="000000"/>
          <w:u w:color="000000"/>
        </w:rPr>
        <w:t>, 259 Mich App 518, 675 NW2d 599 (2003)</w:t>
      </w:r>
      <w:r>
        <w:rPr>
          <w:noProof/>
        </w:rPr>
        <w:tab/>
        <w:t>7</w:t>
      </w:r>
    </w:p>
    <w:p w:rsidR="001A2669" w:rsidRDefault="001A2669" w:rsidP="001A2669">
      <w:pPr>
        <w:pStyle w:val="TableofAuthorities"/>
        <w:tabs>
          <w:tab w:val="right" w:leader="dot" w:pos="9350"/>
        </w:tabs>
        <w:rPr>
          <w:noProof/>
        </w:rPr>
      </w:pPr>
      <w:r w:rsidRPr="00F94F9F">
        <w:rPr>
          <w:i/>
          <w:noProof/>
          <w:color w:val="000000"/>
          <w:u w:color="000000"/>
        </w:rPr>
        <w:t>United States v Booker</w:t>
      </w:r>
      <w:r w:rsidRPr="00F94F9F">
        <w:rPr>
          <w:noProof/>
          <w:color w:val="000000"/>
          <w:u w:color="000000"/>
        </w:rPr>
        <w:t>, 543 US 220, 125 SCt 738, 160 LEd2d 621 (2004)</w:t>
      </w:r>
      <w:r>
        <w:rPr>
          <w:noProof/>
        </w:rPr>
        <w:tab/>
        <w:t>2, 9</w:t>
      </w:r>
    </w:p>
    <w:p w:rsidR="001A2669" w:rsidRDefault="001A2669" w:rsidP="001A2669">
      <w:pPr>
        <w:pStyle w:val="TableofAuthorities"/>
        <w:tabs>
          <w:tab w:val="right" w:leader="dot" w:pos="9350"/>
        </w:tabs>
        <w:rPr>
          <w:noProof/>
        </w:rPr>
      </w:pPr>
      <w:r w:rsidRPr="00F94F9F">
        <w:rPr>
          <w:i/>
          <w:noProof/>
          <w:color w:val="000000"/>
          <w:u w:color="000000"/>
        </w:rPr>
        <w:t>United States v Castillo</w:t>
      </w:r>
      <w:r w:rsidRPr="00F94F9F">
        <w:rPr>
          <w:noProof/>
          <w:color w:val="000000"/>
          <w:u w:color="000000"/>
        </w:rPr>
        <w:t>, 695 F3d 672 (CA 7, 2012)</w:t>
      </w:r>
      <w:r>
        <w:rPr>
          <w:noProof/>
        </w:rPr>
        <w:tab/>
        <w:t>5</w:t>
      </w:r>
    </w:p>
    <w:p w:rsidR="001A2669" w:rsidRDefault="001A2669" w:rsidP="001A2669">
      <w:pPr>
        <w:pStyle w:val="TableofAuthorities"/>
        <w:tabs>
          <w:tab w:val="right" w:leader="dot" w:pos="9350"/>
        </w:tabs>
        <w:rPr>
          <w:noProof/>
        </w:rPr>
      </w:pPr>
      <w:r w:rsidRPr="00F94F9F">
        <w:rPr>
          <w:i/>
          <w:noProof/>
          <w:color w:val="000000"/>
          <w:u w:color="000000"/>
        </w:rPr>
        <w:t>United States v Hall</w:t>
      </w:r>
      <w:r w:rsidRPr="00F94F9F">
        <w:rPr>
          <w:noProof/>
          <w:color w:val="000000"/>
          <w:u w:color="000000"/>
        </w:rPr>
        <w:t>, 610 F3d 727 (DC Cir. 2010)</w:t>
      </w:r>
      <w:r>
        <w:rPr>
          <w:noProof/>
        </w:rPr>
        <w:tab/>
        <w:t>5</w:t>
      </w:r>
    </w:p>
    <w:p w:rsidR="001A2669" w:rsidRDefault="001A2669" w:rsidP="001A2669">
      <w:pPr>
        <w:pStyle w:val="TableofAuthorities"/>
        <w:tabs>
          <w:tab w:val="right" w:leader="dot" w:pos="9350"/>
        </w:tabs>
        <w:rPr>
          <w:noProof/>
        </w:rPr>
      </w:pPr>
      <w:r w:rsidRPr="00F94F9F">
        <w:rPr>
          <w:i/>
          <w:noProof/>
          <w:color w:val="000000"/>
          <w:u w:color="000000"/>
        </w:rPr>
        <w:t>United States v LaSalle</w:t>
      </w:r>
      <w:r w:rsidRPr="00F94F9F">
        <w:rPr>
          <w:noProof/>
          <w:color w:val="000000"/>
          <w:u w:color="000000"/>
        </w:rPr>
        <w:t>, 948 F2d 215 (CA 6, 1991)</w:t>
      </w:r>
      <w:r>
        <w:rPr>
          <w:noProof/>
        </w:rPr>
        <w:tab/>
        <w:t>4</w:t>
      </w:r>
    </w:p>
    <w:p w:rsidR="001A2669" w:rsidRDefault="001A2669" w:rsidP="001A2669">
      <w:pPr>
        <w:pStyle w:val="TableofAuthorities"/>
        <w:tabs>
          <w:tab w:val="right" w:leader="dot" w:pos="9350"/>
        </w:tabs>
        <w:rPr>
          <w:noProof/>
        </w:rPr>
      </w:pPr>
      <w:r w:rsidRPr="00F94F9F">
        <w:rPr>
          <w:i/>
          <w:noProof/>
          <w:color w:val="000000"/>
          <w:u w:color="000000"/>
        </w:rPr>
        <w:t>United States v Parker</w:t>
      </w:r>
      <w:r w:rsidRPr="00F94F9F">
        <w:rPr>
          <w:noProof/>
          <w:color w:val="000000"/>
          <w:u w:color="000000"/>
        </w:rPr>
        <w:t>, 912 F2d 156 (CA 6, 1990)</w:t>
      </w:r>
      <w:r>
        <w:rPr>
          <w:noProof/>
        </w:rPr>
        <w:tab/>
        <w:t>4</w:t>
      </w:r>
    </w:p>
    <w:p w:rsidR="001A2669" w:rsidRDefault="001A2669" w:rsidP="001A2669">
      <w:pPr>
        <w:pStyle w:val="TableofAuthorities"/>
        <w:tabs>
          <w:tab w:val="right" w:leader="dot" w:pos="9350"/>
        </w:tabs>
        <w:rPr>
          <w:noProof/>
        </w:rPr>
      </w:pPr>
      <w:r w:rsidRPr="00F94F9F">
        <w:rPr>
          <w:i/>
          <w:noProof/>
          <w:color w:val="000000"/>
          <w:u w:color="000000"/>
        </w:rPr>
        <w:t>United States v Poynter</w:t>
      </w:r>
      <w:r w:rsidRPr="00F94F9F">
        <w:rPr>
          <w:noProof/>
          <w:color w:val="000000"/>
          <w:u w:color="000000"/>
        </w:rPr>
        <w:t>, 495 F3d 349 (CA 6, 2007)</w:t>
      </w:r>
      <w:r>
        <w:rPr>
          <w:noProof/>
        </w:rPr>
        <w:tab/>
        <w:t>4</w:t>
      </w:r>
    </w:p>
    <w:p w:rsidR="001A2669" w:rsidRDefault="001A2669" w:rsidP="001A2669">
      <w:pPr>
        <w:pStyle w:val="TableofAuthorities"/>
        <w:tabs>
          <w:tab w:val="right" w:leader="dot" w:pos="9350"/>
        </w:tabs>
        <w:rPr>
          <w:noProof/>
        </w:rPr>
      </w:pPr>
      <w:r w:rsidRPr="00F94F9F">
        <w:rPr>
          <w:i/>
          <w:noProof/>
          <w:color w:val="000000"/>
          <w:u w:color="000000"/>
        </w:rPr>
        <w:t>United States v Simmons</w:t>
      </w:r>
      <w:r w:rsidRPr="00F94F9F">
        <w:rPr>
          <w:noProof/>
          <w:color w:val="000000"/>
          <w:u w:color="000000"/>
        </w:rPr>
        <w:t>, 501 F3d 620 (CA 6 2007)</w:t>
      </w:r>
      <w:r>
        <w:rPr>
          <w:noProof/>
        </w:rPr>
        <w:tab/>
        <w:t>4</w:t>
      </w:r>
    </w:p>
    <w:p w:rsidR="001A2669" w:rsidRDefault="001A2669" w:rsidP="001A2669">
      <w:pPr>
        <w:pStyle w:val="TOAHeading"/>
        <w:tabs>
          <w:tab w:val="right" w:leader="dot" w:pos="9350"/>
        </w:tabs>
        <w:rPr>
          <w:noProof/>
        </w:rPr>
      </w:pPr>
      <w:r>
        <w:fldChar w:fldCharType="end"/>
      </w:r>
      <w:r>
        <w:fldChar w:fldCharType="begin"/>
      </w:r>
      <w:r>
        <w:instrText xml:space="preserve"> TOA \h \c "6" \p </w:instrText>
      </w:r>
      <w:r>
        <w:fldChar w:fldCharType="separate"/>
      </w:r>
      <w:r>
        <w:rPr>
          <w:noProof/>
        </w:rPr>
        <w:t>Statutes</w:t>
      </w:r>
    </w:p>
    <w:p w:rsidR="001A2669" w:rsidRPr="001A2669" w:rsidRDefault="001A2669" w:rsidP="001A2669">
      <w:pPr>
        <w:rPr>
          <w:rFonts w:eastAsiaTheme="minorEastAsia"/>
        </w:rPr>
      </w:pPr>
    </w:p>
    <w:p w:rsidR="001A2669" w:rsidRDefault="001A2669" w:rsidP="001A2669">
      <w:pPr>
        <w:pStyle w:val="TableofAuthorities"/>
        <w:tabs>
          <w:tab w:val="right" w:leader="dot" w:pos="9350"/>
        </w:tabs>
        <w:rPr>
          <w:noProof/>
        </w:rPr>
      </w:pPr>
      <w:r w:rsidRPr="00D80325">
        <w:rPr>
          <w:noProof/>
          <w:color w:val="000000"/>
          <w:u w:color="000000"/>
        </w:rPr>
        <w:t>18 USC 3553(a)</w:t>
      </w:r>
      <w:r>
        <w:rPr>
          <w:noProof/>
        </w:rPr>
        <w:tab/>
        <w:t>2, 5</w:t>
      </w:r>
    </w:p>
    <w:p w:rsidR="001A2669" w:rsidRDefault="001A2669" w:rsidP="001A2669">
      <w:pPr>
        <w:pStyle w:val="TableofAuthorities"/>
        <w:tabs>
          <w:tab w:val="right" w:leader="dot" w:pos="9350"/>
        </w:tabs>
        <w:rPr>
          <w:noProof/>
        </w:rPr>
      </w:pPr>
      <w:r w:rsidRPr="00D80325">
        <w:rPr>
          <w:noProof/>
          <w:color w:val="000000"/>
          <w:u w:color="000000"/>
        </w:rPr>
        <w:t>MCL 750.34</w:t>
      </w:r>
      <w:r>
        <w:rPr>
          <w:noProof/>
        </w:rPr>
        <w:tab/>
        <w:t>8</w:t>
      </w:r>
    </w:p>
    <w:p w:rsidR="001A2669" w:rsidRDefault="001A2669" w:rsidP="001A2669">
      <w:pPr>
        <w:pStyle w:val="TableofAuthorities"/>
        <w:tabs>
          <w:tab w:val="right" w:leader="dot" w:pos="9350"/>
        </w:tabs>
        <w:rPr>
          <w:noProof/>
        </w:rPr>
      </w:pPr>
      <w:r w:rsidRPr="00D80325">
        <w:rPr>
          <w:noProof/>
          <w:color w:val="000000"/>
          <w:u w:color="000000"/>
        </w:rPr>
        <w:t>MCL 769.34(2)</w:t>
      </w:r>
      <w:r>
        <w:rPr>
          <w:noProof/>
        </w:rPr>
        <w:tab/>
        <w:t>8</w:t>
      </w:r>
    </w:p>
    <w:p w:rsidR="001A2669" w:rsidRDefault="001A2669" w:rsidP="001A2669">
      <w:pPr>
        <w:pStyle w:val="TableofAuthorities"/>
        <w:tabs>
          <w:tab w:val="right" w:leader="dot" w:pos="9350"/>
        </w:tabs>
        <w:rPr>
          <w:noProof/>
        </w:rPr>
      </w:pPr>
      <w:r w:rsidRPr="00D80325">
        <w:rPr>
          <w:noProof/>
          <w:color w:val="000000"/>
          <w:u w:color="000000"/>
        </w:rPr>
        <w:t>MCL 769.34(3)</w:t>
      </w:r>
      <w:r>
        <w:rPr>
          <w:noProof/>
        </w:rPr>
        <w:tab/>
        <w:t>8, 9</w:t>
      </w:r>
    </w:p>
    <w:p w:rsidR="001A2669" w:rsidRDefault="001A2669" w:rsidP="001A2669">
      <w:pPr>
        <w:pStyle w:val="TableofAuthorities"/>
        <w:tabs>
          <w:tab w:val="right" w:leader="dot" w:pos="9350"/>
        </w:tabs>
        <w:rPr>
          <w:noProof/>
        </w:rPr>
      </w:pPr>
      <w:r w:rsidRPr="00D80325">
        <w:rPr>
          <w:noProof/>
          <w:color w:val="000000"/>
          <w:u w:color="000000"/>
        </w:rPr>
        <w:t>MCL 769.34(3)(b)</w:t>
      </w:r>
      <w:r>
        <w:rPr>
          <w:noProof/>
        </w:rPr>
        <w:tab/>
        <w:t>7, 8, 9</w:t>
      </w:r>
    </w:p>
    <w:p w:rsidR="001A2669" w:rsidRDefault="001A2669" w:rsidP="001A2669">
      <w:pPr>
        <w:pStyle w:val="TableofAuthorities"/>
        <w:tabs>
          <w:tab w:val="right" w:leader="dot" w:pos="9350"/>
        </w:tabs>
        <w:rPr>
          <w:noProof/>
        </w:rPr>
      </w:pPr>
      <w:r w:rsidRPr="00D80325">
        <w:rPr>
          <w:noProof/>
          <w:color w:val="000000"/>
          <w:u w:color="000000"/>
        </w:rPr>
        <w:t>MCL 777.22(1)</w:t>
      </w:r>
      <w:r>
        <w:rPr>
          <w:noProof/>
        </w:rPr>
        <w:tab/>
        <w:t>6</w:t>
      </w:r>
    </w:p>
    <w:p w:rsidR="001A5B78" w:rsidRDefault="001A2669" w:rsidP="001A2669">
      <w:pPr>
        <w:pStyle w:val="Heading1"/>
        <w:rPr>
          <w:color w:val="000000"/>
          <w:u w:color="000000"/>
        </w:rPr>
      </w:pPr>
      <w:r>
        <w:fldChar w:fldCharType="end"/>
      </w:r>
    </w:p>
    <w:p w:rsidR="001A5B78" w:rsidRDefault="001A5B78">
      <w:pPr>
        <w:rPr>
          <w:b/>
          <w:color w:val="000000"/>
          <w:kern w:val="28"/>
          <w:sz w:val="28"/>
          <w:u w:val="single" w:color="000000"/>
        </w:rPr>
      </w:pPr>
      <w:r>
        <w:rPr>
          <w:color w:val="000000"/>
          <w:u w:color="000000"/>
        </w:rPr>
        <w:br w:type="page"/>
      </w:r>
    </w:p>
    <w:p w:rsidR="00171071" w:rsidRDefault="00171071">
      <w:pPr>
        <w:pStyle w:val="Heading1"/>
      </w:pPr>
      <w:bookmarkStart w:id="7" w:name="SOJ"/>
      <w:bookmarkStart w:id="8" w:name="_Toc428780921"/>
      <w:bookmarkEnd w:id="7"/>
      <w:r>
        <w:lastRenderedPageBreak/>
        <w:t>STATEMENT OF JURISDICTION</w:t>
      </w:r>
      <w:bookmarkEnd w:id="8"/>
    </w:p>
    <w:p w:rsidR="00171071" w:rsidRDefault="00171071">
      <w:pPr>
        <w:pStyle w:val="NormalDoubleSpace"/>
      </w:pPr>
      <w:r>
        <w:tab/>
        <w:t xml:space="preserve">Defendant-Appellant was convicted in the </w:t>
      </w:r>
      <w:r>
        <w:fldChar w:fldCharType="begin">
          <w:ffData>
            <w:name w:val="LC_Name_lower"/>
            <w:enabled/>
            <w:calcOnExit w:val="0"/>
            <w:textInput/>
          </w:ffData>
        </w:fldChar>
      </w:r>
      <w:bookmarkStart w:id="9" w:name="LC_Name_lower"/>
      <w:r>
        <w:instrText xml:space="preserve"> FORMTEXT </w:instrText>
      </w:r>
      <w:r>
        <w:fldChar w:fldCharType="separate"/>
      </w:r>
      <w:r w:rsidR="001A2669">
        <w:t>Wayne County Circuit Court</w:t>
      </w:r>
      <w:r>
        <w:fldChar w:fldCharType="end"/>
      </w:r>
      <w:bookmarkEnd w:id="9"/>
      <w:r>
        <w:t xml:space="preserve"> by jury trial and a Judgment of Sentence was entered on </w:t>
      </w:r>
      <w:r>
        <w:fldChar w:fldCharType="begin">
          <w:ffData>
            <w:name w:val="Sentence_date"/>
            <w:enabled/>
            <w:calcOnExit w:val="0"/>
            <w:textInput/>
          </w:ffData>
        </w:fldChar>
      </w:r>
      <w:bookmarkStart w:id="10" w:name="Sentence_date"/>
      <w:r>
        <w:instrText xml:space="preserve"> FORMTEXT </w:instrText>
      </w:r>
      <w:r>
        <w:fldChar w:fldCharType="separate"/>
      </w:r>
      <w:r w:rsidR="001A2669">
        <w:t>May 31, 2012</w:t>
      </w:r>
      <w:r>
        <w:fldChar w:fldCharType="end"/>
      </w:r>
      <w:bookmarkEnd w:id="10"/>
      <w:r>
        <w:t xml:space="preserve">.  A Claim of Appeal was filed on </w:t>
      </w:r>
      <w:r>
        <w:fldChar w:fldCharType="begin">
          <w:ffData>
            <w:name w:val="Claim_filed"/>
            <w:enabled/>
            <w:calcOnExit w:val="0"/>
            <w:textInput/>
          </w:ffData>
        </w:fldChar>
      </w:r>
      <w:bookmarkStart w:id="11" w:name="Claim_filed"/>
      <w:r>
        <w:instrText xml:space="preserve"> FORMTEXT </w:instrText>
      </w:r>
      <w:r>
        <w:fldChar w:fldCharType="separate"/>
      </w:r>
      <w:r w:rsidR="001A2669">
        <w:t>September 18, 2013</w:t>
      </w:r>
      <w:r>
        <w:fldChar w:fldCharType="end"/>
      </w:r>
      <w:bookmarkEnd w:id="11"/>
      <w:r>
        <w:t xml:space="preserve"> by the trial court pursuant to the indigent defendant's request for the appointment of appellate counsel dated </w:t>
      </w:r>
      <w:r>
        <w:fldChar w:fldCharType="begin">
          <w:ffData>
            <w:name w:val="App_counsel_reqstd"/>
            <w:enabled/>
            <w:calcOnExit w:val="0"/>
            <w:textInput/>
          </w:ffData>
        </w:fldChar>
      </w:r>
      <w:bookmarkStart w:id="12" w:name="App_counsel_reqstd"/>
      <w:r>
        <w:instrText xml:space="preserve"> FORMTEXT </w:instrText>
      </w:r>
      <w:r>
        <w:fldChar w:fldCharType="separate"/>
      </w:r>
      <w:r w:rsidR="001A2669">
        <w:t>August 28, 2012</w:t>
      </w:r>
      <w:r>
        <w:fldChar w:fldCharType="end"/>
      </w:r>
      <w:bookmarkEnd w:id="12"/>
      <w:r>
        <w:t xml:space="preserve">, as authorized by </w:t>
      </w:r>
      <w:proofErr w:type="spellStart"/>
      <w:r>
        <w:t>MCR</w:t>
      </w:r>
      <w:proofErr w:type="spellEnd"/>
      <w:r>
        <w:t xml:space="preserve"> 6.425(F)(3).  This Court has jurisdiction in this appeal as of right provided for by </w:t>
      </w:r>
      <w:proofErr w:type="spellStart"/>
      <w:smartTag w:uri="schemas-westgroup-com/westlawcitation" w:element="typecases">
        <w:smartTagPr>
          <w:attr w:name="TagPropertiesCategory" w:val="1"/>
          <w:attr w:name="TagPropertiesJuris" w:val="0"/>
          <w:attr w:name="TagPropertiesShortForm" w:val="MI CONST 1963"/>
          <w:attr w:name="TagPropertiesLongForm" w:val="Mich Const 1963"/>
          <w:attr w:name="TagPropertiesForm" w:val="6"/>
          <w:attr w:name="TagPropertiesKey_Link" w:val="MI CONST 1963"/>
        </w:smartTagPr>
        <w:r>
          <w:t>Mich</w:t>
        </w:r>
        <w:proofErr w:type="spellEnd"/>
        <w:r>
          <w:t xml:space="preserve"> </w:t>
        </w:r>
        <w:proofErr w:type="spellStart"/>
        <w:r>
          <w:t>Const</w:t>
        </w:r>
        <w:proofErr w:type="spellEnd"/>
        <w:r>
          <w:t xml:space="preserve"> 1963</w:t>
        </w:r>
      </w:smartTag>
      <w:r>
        <w:t xml:space="preserve">, art 1, §20, pursuant to </w:t>
      </w:r>
      <w:smartTag w:uri="schemas-westgroup-com/westlawcitation" w:element="typecases">
        <w:smartTagPr>
          <w:attr w:name="TagPropertiesCategory" w:val="1"/>
          <w:attr w:name="TagPropertiesJuris" w:val="0"/>
          <w:attr w:name="TagPropertiesShortForm" w:val="MI ST 600.308(1)"/>
          <w:attr w:name="TagPropertiesLongForm" w:val="MCL 600.308(1)"/>
          <w:attr w:name="TagPropertiesForm" w:val="6"/>
          <w:attr w:name="TagPropertiesKey_Link" w:val="MI ST 600.308(1)"/>
        </w:smartTagPr>
        <w:r>
          <w:t>MCL 600.308(1)</w:t>
        </w:r>
      </w:smartTag>
      <w:r>
        <w:t xml:space="preserve">; </w:t>
      </w:r>
      <w:smartTag w:uri="schemas-westgroup-com/westlawcitation" w:element="typecases">
        <w:smartTagPr>
          <w:attr w:name="TagPropertiesCategory" w:val="1"/>
          <w:attr w:name="TagPropertiesJuris" w:val="0"/>
          <w:attr w:name="TagPropertiesShortForm" w:val="MI ST 770.3"/>
          <w:attr w:name="TagPropertiesLongForm" w:val="MCL 770.3"/>
          <w:attr w:name="TagPropertiesForm" w:val="6"/>
          <w:attr w:name="TagPropertiesKey_Link" w:val="MI ST 770.3"/>
        </w:smartTagPr>
        <w:r>
          <w:t>MCL 770.3</w:t>
        </w:r>
      </w:smartTag>
      <w:r>
        <w:t xml:space="preserve">; </w:t>
      </w:r>
      <w:proofErr w:type="spellStart"/>
      <w:r>
        <w:t>MCR</w:t>
      </w:r>
      <w:proofErr w:type="spellEnd"/>
      <w:r>
        <w:t xml:space="preserve"> 7.203(A), </w:t>
      </w:r>
      <w:proofErr w:type="spellStart"/>
      <w:r>
        <w:t>MCR</w:t>
      </w:r>
      <w:proofErr w:type="spellEnd"/>
      <w:r>
        <w:t xml:space="preserve"> 7.204(A</w:t>
      </w:r>
      <w:proofErr w:type="gramStart"/>
      <w:r>
        <w:t>)(</w:t>
      </w:r>
      <w:proofErr w:type="gramEnd"/>
      <w:r>
        <w:t>2).</w:t>
      </w:r>
    </w:p>
    <w:p w:rsidR="00171071" w:rsidRDefault="00171071">
      <w:pPr>
        <w:pStyle w:val="NormalDoubleSpace"/>
      </w:pPr>
    </w:p>
    <w:p w:rsidR="001A5B78" w:rsidRDefault="001A5B78" w:rsidP="009B5AA1">
      <w:pPr>
        <w:pStyle w:val="Heading1"/>
        <w:rPr>
          <w:color w:val="000000"/>
          <w:u w:color="000000"/>
        </w:rPr>
      </w:pPr>
    </w:p>
    <w:p w:rsidR="001A5B78" w:rsidRDefault="001A5B78">
      <w:pPr>
        <w:rPr>
          <w:b/>
          <w:color w:val="000000"/>
          <w:kern w:val="28"/>
          <w:sz w:val="28"/>
          <w:u w:val="single" w:color="000000"/>
        </w:rPr>
      </w:pPr>
      <w:r>
        <w:rPr>
          <w:color w:val="000000"/>
          <w:u w:color="000000"/>
        </w:rPr>
        <w:br w:type="page"/>
      </w:r>
    </w:p>
    <w:p w:rsidR="001A5B78" w:rsidRDefault="001A5B78">
      <w:pPr>
        <w:pStyle w:val="Heading1"/>
      </w:pPr>
      <w:bookmarkStart w:id="13" w:name="SOQ"/>
      <w:bookmarkStart w:id="14" w:name="_Toc428780922"/>
      <w:bookmarkEnd w:id="13"/>
      <w:r>
        <w:lastRenderedPageBreak/>
        <w:t>STATEMENT OF QUESTIONS PRESENTED</w:t>
      </w:r>
      <w:bookmarkEnd w:id="14"/>
    </w:p>
    <w:p w:rsidR="001A5B78" w:rsidRDefault="001A5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1A5B78" w:rsidRDefault="001A5B78" w:rsidP="001A5B78">
      <w:pPr>
        <w:pStyle w:val="TOC5"/>
        <w:rPr>
          <w:rFonts w:asciiTheme="minorHAnsi" w:eastAsiaTheme="minorEastAsia" w:hAnsiTheme="minorHAnsi" w:cstheme="minorBidi"/>
          <w:sz w:val="22"/>
          <w:szCs w:val="22"/>
        </w:rPr>
      </w:pPr>
      <w:bookmarkStart w:id="15" w:name="QUESTIONS"/>
      <w:bookmarkEnd w:id="15"/>
      <w:r w:rsidRPr="00F66C02">
        <w:rPr>
          <w:color w:val="000000"/>
          <w:u w:color="000000"/>
        </w:rPr>
        <w:t>I.</w:t>
      </w:r>
      <w:r>
        <w:rPr>
          <w:rFonts w:asciiTheme="minorHAnsi" w:eastAsiaTheme="minorEastAsia" w:hAnsiTheme="minorHAnsi" w:cstheme="minorBidi"/>
          <w:sz w:val="22"/>
          <w:szCs w:val="22"/>
        </w:rPr>
        <w:tab/>
      </w:r>
      <w:r w:rsidR="00C851DF">
        <w:rPr>
          <w:rFonts w:eastAsiaTheme="minorEastAsia"/>
          <w:szCs w:val="24"/>
        </w:rPr>
        <w:t xml:space="preserve">WHETHER </w:t>
      </w:r>
      <w:r w:rsidRPr="00F66C02">
        <w:rPr>
          <w:color w:val="000000"/>
          <w:u w:color="000000"/>
        </w:rPr>
        <w:t xml:space="preserve">THE SENTENCE IMPOSED ON DEFENDANT FOR </w:t>
      </w:r>
      <w:r w:rsidR="00C851DF">
        <w:rPr>
          <w:color w:val="000000"/>
          <w:u w:color="000000"/>
        </w:rPr>
        <w:t>ASSAULT WITH INTENT TO MURDER I</w:t>
      </w:r>
      <w:r w:rsidRPr="00F66C02">
        <w:rPr>
          <w:color w:val="000000"/>
          <w:u w:color="000000"/>
        </w:rPr>
        <w:t>S BOTH PROCEDURALLY AND SUBSTANTIVELY UNREASONABLE.</w:t>
      </w:r>
    </w:p>
    <w:p w:rsidR="001A5B78" w:rsidRDefault="001A5B78" w:rsidP="001A5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bookmarkStart w:id="16" w:name="My_Reply"/>
    </w:p>
    <w:p w:rsidR="001A5B78" w:rsidRDefault="001A5B78" w:rsidP="001A5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r>
        <w:rPr>
          <w:spacing w:val="-3"/>
        </w:rPr>
        <w:fldChar w:fldCharType="begin">
          <w:ffData>
            <w:name w:val="My_Court"/>
            <w:enabled/>
            <w:calcOnExit w:val="0"/>
            <w:textInput>
              <w:default w:val="Court"/>
            </w:textInput>
          </w:ffData>
        </w:fldChar>
      </w:r>
      <w:bookmarkStart w:id="17" w:name="My_Court"/>
      <w:r>
        <w:rPr>
          <w:spacing w:val="-3"/>
        </w:rPr>
        <w:instrText xml:space="preserve"> FORMTEXT </w:instrText>
      </w:r>
      <w:r>
        <w:rPr>
          <w:spacing w:val="-3"/>
        </w:rPr>
      </w:r>
      <w:r>
        <w:rPr>
          <w:spacing w:val="-3"/>
        </w:rPr>
        <w:fldChar w:fldCharType="separate"/>
      </w:r>
      <w:r>
        <w:rPr>
          <w:spacing w:val="-3"/>
        </w:rPr>
        <w:t>Trial Court</w:t>
      </w:r>
      <w:r>
        <w:rPr>
          <w:spacing w:val="-3"/>
        </w:rPr>
        <w:fldChar w:fldCharType="end"/>
      </w:r>
      <w:bookmarkEnd w:id="17"/>
      <w:r>
        <w:rPr>
          <w:spacing w:val="-3"/>
        </w:rPr>
        <w:t xml:space="preserve"> made no answer.</w:t>
      </w:r>
    </w:p>
    <w:p w:rsidR="001A5B78" w:rsidRDefault="001A5B78" w:rsidP="001A5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p w:rsidR="001A5B78" w:rsidRDefault="001A5B78" w:rsidP="001A5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r>
        <w:rPr>
          <w:spacing w:val="-3"/>
        </w:rPr>
        <w:t>Defendant-Appellant answers, "Yes".</w:t>
      </w:r>
    </w:p>
    <w:p w:rsidR="001A5B78" w:rsidRDefault="001A5B78" w:rsidP="001A5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bookmarkEnd w:id="16"/>
    <w:p w:rsidR="001A5B78" w:rsidRDefault="001A5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p w:rsidR="00171071" w:rsidRDefault="00171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1A5B78" w:rsidRDefault="001A5B78" w:rsidP="00171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1A5B78" w:rsidRDefault="001A5B78"/>
    <w:p w:rsidR="001A5B78" w:rsidRDefault="001A5B78" w:rsidP="009B5AA1">
      <w:pPr>
        <w:pStyle w:val="Heading1"/>
        <w:rPr>
          <w:color w:val="000000"/>
          <w:u w:color="000000"/>
        </w:rPr>
      </w:pPr>
    </w:p>
    <w:p w:rsidR="001A5B78" w:rsidRDefault="001A5B78" w:rsidP="009B5AA1">
      <w:pPr>
        <w:pStyle w:val="Heading1"/>
        <w:rPr>
          <w:color w:val="000000"/>
          <w:u w:color="000000"/>
        </w:rPr>
        <w:sectPr w:rsidR="001A5B78" w:rsidSect="001A5B78">
          <w:footerReference w:type="default" r:id="rId9"/>
          <w:pgSz w:w="12240" w:h="15840"/>
          <w:pgMar w:top="1440" w:right="1440" w:bottom="1440" w:left="1440" w:header="720" w:footer="720" w:gutter="0"/>
          <w:pgNumType w:fmt="lowerRoman" w:start="1"/>
          <w:cols w:space="720"/>
        </w:sectPr>
      </w:pPr>
    </w:p>
    <w:p w:rsidR="002E0204" w:rsidRPr="00063BBF" w:rsidRDefault="001A5B78" w:rsidP="001A5B78">
      <w:pPr>
        <w:pStyle w:val="Heading1"/>
        <w:rPr>
          <w:u w:color="000000"/>
        </w:rPr>
      </w:pPr>
      <w:bookmarkStart w:id="18" w:name="_Toc428780923"/>
      <w:r>
        <w:rPr>
          <w:color w:val="000000"/>
          <w:u w:color="000000"/>
        </w:rPr>
        <w:lastRenderedPageBreak/>
        <w:t>STATEMENT OF FACTS</w:t>
      </w:r>
      <w:bookmarkEnd w:id="18"/>
    </w:p>
    <w:p w:rsidR="009B5AA1" w:rsidRPr="00063BBF" w:rsidRDefault="009B5AA1" w:rsidP="009B5AA1">
      <w:pPr>
        <w:rPr>
          <w:color w:val="000000"/>
          <w:u w:color="000000"/>
        </w:rPr>
      </w:pPr>
    </w:p>
    <w:p w:rsidR="009B5AA1" w:rsidRPr="00063BBF" w:rsidRDefault="009B5AA1" w:rsidP="009B5AA1">
      <w:pPr>
        <w:pStyle w:val="NormalDoubleSpace"/>
        <w:rPr>
          <w:color w:val="000000"/>
          <w:u w:color="000000"/>
        </w:rPr>
      </w:pPr>
      <w:r w:rsidRPr="00063BBF">
        <w:rPr>
          <w:color w:val="000000"/>
          <w:u w:color="000000"/>
        </w:rPr>
        <w:tab/>
        <w:t xml:space="preserve">Defendant adopts the Statement of Facts in the Brief on Appeal.  He was sentenced to 30 to 60 years in prison for assault with intent to murder, and one to five years for receiving and concealing stolen property under $20,000.  The Court of Appeals issued an order allowing Defendant to file a supplemental brief addressing whether the sentences were reasonable in light of the Michigan Supreme Court’s decision in </w:t>
      </w:r>
      <w:r w:rsidRPr="00063BBF">
        <w:rPr>
          <w:i/>
          <w:color w:val="000000"/>
          <w:u w:color="000000"/>
        </w:rPr>
        <w:t>People v Lockridge</w:t>
      </w:r>
      <w:r w:rsidRPr="00063BBF">
        <w:rPr>
          <w:color w:val="000000"/>
          <w:u w:color="000000"/>
        </w:rPr>
        <w:t>, ___</w:t>
      </w:r>
      <w:proofErr w:type="spellStart"/>
      <w:r w:rsidRPr="00063BBF">
        <w:rPr>
          <w:color w:val="000000"/>
          <w:u w:color="000000"/>
        </w:rPr>
        <w:t>Mich</w:t>
      </w:r>
      <w:proofErr w:type="spellEnd"/>
      <w:r w:rsidRPr="00063BBF">
        <w:rPr>
          <w:color w:val="000000"/>
          <w:u w:color="000000"/>
        </w:rPr>
        <w:t>___(#149073, July 29, 2015).</w:t>
      </w:r>
    </w:p>
    <w:p w:rsidR="003E3A26" w:rsidRPr="00063BBF" w:rsidRDefault="003E3A26">
      <w:pPr>
        <w:rPr>
          <w:color w:val="000000"/>
          <w:u w:color="000000"/>
        </w:rPr>
      </w:pPr>
      <w:r w:rsidRPr="00063BBF">
        <w:rPr>
          <w:color w:val="000000"/>
          <w:u w:color="000000"/>
        </w:rPr>
        <w:br w:type="page"/>
      </w:r>
    </w:p>
    <w:p w:rsidR="003E3A26" w:rsidRPr="00063BBF" w:rsidRDefault="00171071" w:rsidP="003E3A26">
      <w:pPr>
        <w:pStyle w:val="ISSUE"/>
        <w:numPr>
          <w:ilvl w:val="0"/>
          <w:numId w:val="13"/>
        </w:numPr>
        <w:rPr>
          <w:color w:val="000000"/>
          <w:u w:color="000000"/>
        </w:rPr>
      </w:pPr>
      <w:bookmarkStart w:id="19" w:name="_Toc428780545"/>
      <w:bookmarkStart w:id="20" w:name="_Toc428780924"/>
      <w:r w:rsidRPr="00063BBF">
        <w:rPr>
          <w:caps w:val="0"/>
          <w:color w:val="000000"/>
          <w:u w:color="000000"/>
        </w:rPr>
        <w:lastRenderedPageBreak/>
        <w:t xml:space="preserve">THE SENTENCE IMPOSED ON DEFENDANT FOR </w:t>
      </w:r>
      <w:r w:rsidR="00C851DF">
        <w:rPr>
          <w:caps w:val="0"/>
          <w:color w:val="000000"/>
          <w:u w:color="000000"/>
        </w:rPr>
        <w:t>ASSAULT WITH INTENT TO MURDER I</w:t>
      </w:r>
      <w:r w:rsidRPr="00063BBF">
        <w:rPr>
          <w:caps w:val="0"/>
          <w:color w:val="000000"/>
          <w:u w:color="000000"/>
        </w:rPr>
        <w:t>S BOTH PROCEDURALLY AND SUBSTANTIVELY UNREASONABLE.</w:t>
      </w:r>
      <w:bookmarkEnd w:id="19"/>
      <w:bookmarkEnd w:id="20"/>
    </w:p>
    <w:p w:rsidR="003E3A26" w:rsidRPr="00063BBF" w:rsidRDefault="003E3A26" w:rsidP="003E3A26">
      <w:pPr>
        <w:pStyle w:val="NormalDoubleSpace"/>
        <w:rPr>
          <w:b/>
          <w:color w:val="000000"/>
          <w:u w:color="000000"/>
        </w:rPr>
      </w:pPr>
      <w:r w:rsidRPr="00063BBF">
        <w:rPr>
          <w:b/>
          <w:color w:val="000000"/>
          <w:u w:color="000000"/>
        </w:rPr>
        <w:t>Standard of Review</w:t>
      </w:r>
    </w:p>
    <w:p w:rsidR="003E3A26" w:rsidRPr="00063BBF" w:rsidRDefault="003E3A26" w:rsidP="003E3A26">
      <w:pPr>
        <w:pStyle w:val="NormalDoubleSpace"/>
        <w:ind w:firstLine="720"/>
        <w:rPr>
          <w:color w:val="000000"/>
          <w:u w:color="000000"/>
        </w:rPr>
      </w:pPr>
      <w:r w:rsidRPr="00063BBF">
        <w:rPr>
          <w:color w:val="000000"/>
          <w:u w:color="000000"/>
        </w:rPr>
        <w:t xml:space="preserve">Because the Guidelines are now advisory, appellate review of sentencing decisions is limited to determining whether they are “reasonable,” </w:t>
      </w:r>
      <w:r w:rsidR="00171071">
        <w:rPr>
          <w:color w:val="000000"/>
          <w:u w:color="000000"/>
        </w:rPr>
        <w:fldChar w:fldCharType="begin"/>
      </w:r>
      <w:r w:rsidR="00171071">
        <w:instrText xml:space="preserve"> TA \l "</w:instrText>
      </w:r>
      <w:r w:rsidR="00171071" w:rsidRPr="00171071">
        <w:rPr>
          <w:i/>
          <w:color w:val="000000"/>
          <w:u w:color="000000"/>
        </w:rPr>
        <w:instrText>United States v Booker</w:instrText>
      </w:r>
      <w:r w:rsidR="00171071" w:rsidRPr="00171071">
        <w:rPr>
          <w:color w:val="000000"/>
          <w:u w:color="000000"/>
        </w:rPr>
        <w:instrText>, 543 US 220, 125 SCt 738, 160 LEd2d 621 (2004)</w:instrText>
      </w:r>
      <w:r w:rsidR="00171071">
        <w:instrText xml:space="preserve">" \s "WSFTA_eda3bf54c6e541c08f5427d622f5d271" \c 3 </w:instrText>
      </w:r>
      <w:r w:rsidR="00171071">
        <w:rPr>
          <w:color w:val="000000"/>
          <w:u w:color="000000"/>
        </w:rPr>
        <w:fldChar w:fldCharType="end"/>
      </w:r>
      <w:bookmarkStart w:id="21" w:name="LONGCITATION"/>
      <w:r w:rsidRPr="00063BBF">
        <w:rPr>
          <w:i/>
          <w:color w:val="000000"/>
          <w:u w:color="000000"/>
        </w:rPr>
        <w:t>United States v Booker</w:t>
      </w:r>
      <w:r w:rsidRPr="00063BBF">
        <w:rPr>
          <w:color w:val="000000"/>
          <w:u w:color="000000"/>
        </w:rPr>
        <w:t xml:space="preserve">, 543 US 220, 125 </w:t>
      </w:r>
      <w:proofErr w:type="spellStart"/>
      <w:r w:rsidRPr="00063BBF">
        <w:rPr>
          <w:color w:val="000000"/>
          <w:u w:color="000000"/>
        </w:rPr>
        <w:t>SCt</w:t>
      </w:r>
      <w:proofErr w:type="spellEnd"/>
      <w:r w:rsidRPr="00063BBF">
        <w:rPr>
          <w:color w:val="000000"/>
          <w:u w:color="000000"/>
        </w:rPr>
        <w:t xml:space="preserve"> 738, 160 LEd2d 621 (2004)</w:t>
      </w:r>
      <w:bookmarkEnd w:id="21"/>
      <w:r w:rsidRPr="00063BBF">
        <w:rPr>
          <w:color w:val="000000"/>
          <w:u w:color="000000"/>
        </w:rPr>
        <w:t xml:space="preserve">, and an abuse-of-discretion standard applies to appellate review of sentencing decisions.  </w:t>
      </w:r>
      <w:r w:rsidR="00171071">
        <w:rPr>
          <w:color w:val="000000"/>
          <w:u w:color="000000"/>
        </w:rPr>
        <w:fldChar w:fldCharType="begin"/>
      </w:r>
      <w:r w:rsidR="00171071">
        <w:instrText xml:space="preserve"> TA \l "</w:instrText>
      </w:r>
      <w:r w:rsidR="00171071" w:rsidRPr="00171071">
        <w:rPr>
          <w:i/>
          <w:color w:val="000000"/>
          <w:u w:color="000000"/>
        </w:rPr>
        <w:instrText>Gall v United States</w:instrText>
      </w:r>
      <w:r w:rsidR="00171071" w:rsidRPr="00171071">
        <w:rPr>
          <w:color w:val="000000"/>
          <w:u w:color="000000"/>
        </w:rPr>
        <w:instrText>, 552 US 38</w:instrText>
      </w:r>
      <w:r w:rsidR="00171071">
        <w:instrText xml:space="preserve">" \s "WSFTA_3413a63f07f24179ba65613e59b3392c" \c 3 </w:instrText>
      </w:r>
      <w:r w:rsidR="00171071">
        <w:rPr>
          <w:color w:val="000000"/>
          <w:u w:color="000000"/>
        </w:rPr>
        <w:fldChar w:fldCharType="end"/>
      </w:r>
      <w:r w:rsidRPr="00063BBF">
        <w:rPr>
          <w:i/>
          <w:color w:val="000000"/>
          <w:u w:color="000000"/>
        </w:rPr>
        <w:t>Gall v United States</w:t>
      </w:r>
      <w:r w:rsidRPr="00063BBF">
        <w:rPr>
          <w:color w:val="000000"/>
          <w:u w:color="000000"/>
        </w:rPr>
        <w:t xml:space="preserve">, 552 US 38; </w:t>
      </w:r>
      <w:r w:rsidR="00171071">
        <w:rPr>
          <w:color w:val="000000"/>
          <w:u w:color="000000"/>
        </w:rPr>
        <w:fldChar w:fldCharType="begin"/>
      </w:r>
      <w:r w:rsidR="00171071">
        <w:instrText xml:space="preserve"> TA \l "" \s "WSFTA_3413a63f07f24179ba65613e59b3392c" \c 3 </w:instrText>
      </w:r>
      <w:r w:rsidR="00171071">
        <w:rPr>
          <w:color w:val="000000"/>
          <w:u w:color="000000"/>
        </w:rPr>
        <w:fldChar w:fldCharType="end"/>
      </w:r>
      <w:r w:rsidRPr="00063BBF">
        <w:rPr>
          <w:color w:val="000000"/>
          <w:u w:color="000000"/>
        </w:rPr>
        <w:t xml:space="preserve">128 S Ct 586, 590; </w:t>
      </w:r>
      <w:r w:rsidR="00171071">
        <w:rPr>
          <w:color w:val="000000"/>
          <w:u w:color="000000"/>
        </w:rPr>
        <w:fldChar w:fldCharType="begin"/>
      </w:r>
      <w:r w:rsidR="00171071">
        <w:instrText xml:space="preserve"> TA \l "" \s "WSFTA_3413a63f07f24179ba65613e59b3392c" \c 3 </w:instrText>
      </w:r>
      <w:r w:rsidR="00171071">
        <w:rPr>
          <w:color w:val="000000"/>
          <w:u w:color="000000"/>
        </w:rPr>
        <w:fldChar w:fldCharType="end"/>
      </w:r>
      <w:r w:rsidRPr="00063BBF">
        <w:rPr>
          <w:color w:val="000000"/>
          <w:u w:color="000000"/>
        </w:rPr>
        <w:t xml:space="preserve">169 L Ed 2d 445 (2007); </w:t>
      </w:r>
      <w:r w:rsidRPr="00063BBF">
        <w:rPr>
          <w:i/>
          <w:color w:val="000000"/>
          <w:u w:color="000000"/>
        </w:rPr>
        <w:t>People v Lockridge</w:t>
      </w:r>
      <w:r w:rsidRPr="00063BBF">
        <w:rPr>
          <w:color w:val="000000"/>
          <w:u w:color="000000"/>
        </w:rPr>
        <w:t>, ___</w:t>
      </w:r>
      <w:proofErr w:type="spellStart"/>
      <w:r w:rsidRPr="00063BBF">
        <w:rPr>
          <w:color w:val="000000"/>
          <w:u w:color="000000"/>
        </w:rPr>
        <w:t>Mich</w:t>
      </w:r>
      <w:proofErr w:type="spellEnd"/>
      <w:r w:rsidRPr="00063BBF">
        <w:rPr>
          <w:color w:val="000000"/>
          <w:u w:color="000000"/>
        </w:rPr>
        <w:t>___(#149073, July 29, 2015).</w:t>
      </w:r>
    </w:p>
    <w:p w:rsidR="003E3A26" w:rsidRPr="00063BBF" w:rsidRDefault="003E3A26" w:rsidP="003E3A26">
      <w:pPr>
        <w:pStyle w:val="NormalDoubleSpace"/>
        <w:rPr>
          <w:b/>
          <w:color w:val="000000"/>
          <w:u w:color="000000"/>
        </w:rPr>
      </w:pPr>
      <w:r w:rsidRPr="00063BBF">
        <w:rPr>
          <w:b/>
          <w:color w:val="000000"/>
          <w:u w:color="000000"/>
        </w:rPr>
        <w:t>Reasonableness</w:t>
      </w:r>
    </w:p>
    <w:p w:rsidR="003E3A26" w:rsidRPr="00063BBF" w:rsidRDefault="003E3A26" w:rsidP="003E3A26">
      <w:pPr>
        <w:pStyle w:val="NormalDoubleSpace"/>
        <w:ind w:firstLine="720"/>
        <w:rPr>
          <w:color w:val="000000"/>
          <w:u w:color="000000"/>
        </w:rPr>
      </w:pPr>
      <w:r w:rsidRPr="00063BBF">
        <w:rPr>
          <w:color w:val="000000"/>
          <w:u w:color="000000"/>
        </w:rPr>
        <w:t xml:space="preserve">The federal guidelines have been advisory, pursuant to </w:t>
      </w:r>
      <w:r w:rsidR="00171071">
        <w:rPr>
          <w:color w:val="000000"/>
          <w:u w:color="000000"/>
        </w:rPr>
        <w:fldChar w:fldCharType="begin"/>
      </w:r>
      <w:r w:rsidR="00171071">
        <w:instrText xml:space="preserve"> TA \l "" \s "WSFTA_eda3bf54c6e541c08f5427d622f5d271" \c 3 </w:instrText>
      </w:r>
      <w:r w:rsidR="00171071">
        <w:rPr>
          <w:color w:val="000000"/>
          <w:u w:color="000000"/>
        </w:rPr>
        <w:fldChar w:fldCharType="end"/>
      </w:r>
      <w:r w:rsidRPr="00063BBF">
        <w:rPr>
          <w:i/>
          <w:color w:val="000000"/>
          <w:u w:color="000000"/>
        </w:rPr>
        <w:t>United States v Booker</w:t>
      </w:r>
      <w:r w:rsidRPr="00063BBF">
        <w:rPr>
          <w:color w:val="000000"/>
          <w:u w:color="000000"/>
        </w:rPr>
        <w:t xml:space="preserve">, </w:t>
      </w:r>
      <w:r w:rsidRPr="00063BBF">
        <w:rPr>
          <w:i/>
          <w:color w:val="000000"/>
          <w:u w:color="000000"/>
        </w:rPr>
        <w:t>supra</w:t>
      </w:r>
      <w:r w:rsidRPr="00063BBF">
        <w:rPr>
          <w:color w:val="000000"/>
          <w:u w:color="000000"/>
        </w:rPr>
        <w:t xml:space="preserve">, for several years, and the appellate courts accordingly review sentences for reasonableness.  When imposing sentence, the federal district courts start by applying the factors delineated in </w:t>
      </w:r>
      <w:r w:rsidR="00171071">
        <w:rPr>
          <w:color w:val="000000"/>
          <w:u w:color="000000"/>
        </w:rPr>
        <w:fldChar w:fldCharType="begin"/>
      </w:r>
      <w:r w:rsidR="00171071">
        <w:instrText xml:space="preserve"> TA \l "</w:instrText>
      </w:r>
      <w:r w:rsidR="00171071" w:rsidRPr="00171071">
        <w:rPr>
          <w:color w:val="000000"/>
          <w:u w:color="000000"/>
        </w:rPr>
        <w:instrText>18 USC 3553(a)</w:instrText>
      </w:r>
      <w:r w:rsidR="00171071">
        <w:instrText xml:space="preserve">" \s "WSFTA_dea30fd98a61458bae94cb64dba347b6" \c 6 </w:instrText>
      </w:r>
      <w:r w:rsidR="00171071">
        <w:rPr>
          <w:color w:val="000000"/>
          <w:u w:color="000000"/>
        </w:rPr>
        <w:fldChar w:fldCharType="end"/>
      </w:r>
      <w:r w:rsidRPr="00063BBF">
        <w:rPr>
          <w:color w:val="000000"/>
          <w:u w:color="000000"/>
        </w:rPr>
        <w:t>18 USC 3553(a).  Those factors include the following:</w:t>
      </w:r>
    </w:p>
    <w:p w:rsidR="003E3A26" w:rsidRPr="00063BBF" w:rsidRDefault="003E3A26" w:rsidP="003E3A26">
      <w:pPr>
        <w:pStyle w:val="BlockQuote"/>
        <w:rPr>
          <w:color w:val="000000"/>
          <w:u w:color="000000"/>
        </w:rPr>
      </w:pPr>
      <w:r w:rsidRPr="00063BBF">
        <w:rPr>
          <w:color w:val="000000"/>
          <w:u w:color="000000"/>
        </w:rPr>
        <w:t>(a) Factors To Be Considered in Imposing a Sentence.  The court shall impose a sentence sufficient, but not greater than necessary, to comply with the purposes set forth in paragraph (2) of this subsection. The court, in determining the particular sentence to be imposed, shall consider:</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(1) the nature and circumstances of the offense and the history and characteristics of the defendant;</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(2) the need for the sentence imposed</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ab/>
        <w:t>(A) to reflect the seriousness of the offense, to promote respect for the law, and to provide just punishment for the offense;</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ab/>
        <w:t>(B) to afford adequate deterrence to criminal conduct;</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ab/>
        <w:t>(C) to protect the public from further crimes of the defendant; and</w:t>
      </w:r>
    </w:p>
    <w:p w:rsidR="003E3A26" w:rsidRPr="00063BBF" w:rsidRDefault="003E3A26" w:rsidP="003E3A26">
      <w:pPr>
        <w:pStyle w:val="BlockQuote"/>
        <w:rPr>
          <w:color w:val="000000"/>
          <w:u w:color="000000"/>
        </w:rPr>
      </w:pPr>
      <w:r w:rsidRPr="00063BBF">
        <w:rPr>
          <w:color w:val="000000"/>
          <w:u w:color="000000"/>
        </w:rPr>
        <w:lastRenderedPageBreak/>
        <w:tab/>
        <w:t>(D) to provide the defendant with needed educational or vocational training, medical care, or other correctional treatment in the most effective manner;</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(3) the kinds of sentences available;</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(4) the kinds of sentence and the sentencing range established for—</w:t>
      </w:r>
    </w:p>
    <w:p w:rsidR="003E3A26" w:rsidRPr="00063BBF" w:rsidRDefault="003E3A26" w:rsidP="003E3A26">
      <w:pPr>
        <w:pStyle w:val="BlockQuote"/>
        <w:rPr>
          <w:color w:val="000000"/>
          <w:u w:color="000000"/>
        </w:rPr>
      </w:pPr>
      <w:r w:rsidRPr="00063BBF">
        <w:rPr>
          <w:color w:val="000000"/>
          <w:u w:color="000000"/>
        </w:rPr>
        <w:tab/>
      </w:r>
    </w:p>
    <w:p w:rsidR="003E3A26" w:rsidRPr="00063BBF" w:rsidRDefault="003E3A26" w:rsidP="003E3A26">
      <w:pPr>
        <w:pStyle w:val="BlockQuote"/>
        <w:rPr>
          <w:color w:val="000000"/>
          <w:u w:color="000000"/>
        </w:rPr>
      </w:pPr>
      <w:r w:rsidRPr="00063BBF">
        <w:rPr>
          <w:color w:val="000000"/>
          <w:u w:color="000000"/>
        </w:rPr>
        <w:tab/>
        <w:t>(A) the applicable category of offense committed by the applicable category of defendant as set forth in the guidelines—</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w:t>
      </w:r>
      <w:proofErr w:type="spellStart"/>
      <w:r w:rsidRPr="00063BBF">
        <w:rPr>
          <w:color w:val="000000"/>
          <w:u w:color="000000"/>
        </w:rPr>
        <w:t>i</w:t>
      </w:r>
      <w:proofErr w:type="spellEnd"/>
      <w:r w:rsidRPr="00063BBF">
        <w:rPr>
          <w:color w:val="000000"/>
          <w:u w:color="000000"/>
        </w:rPr>
        <w:t xml:space="preserve">) issued by the Sentencing Commission pursuant to section 994 </w:t>
      </w:r>
    </w:p>
    <w:p w:rsidR="003E3A26" w:rsidRPr="00063BBF" w:rsidRDefault="003E3A26" w:rsidP="003E3A26">
      <w:pPr>
        <w:pStyle w:val="BlockQuote"/>
        <w:rPr>
          <w:color w:val="000000"/>
          <w:u w:color="000000"/>
        </w:rPr>
      </w:pPr>
      <w:r w:rsidRPr="00063BBF">
        <w:rPr>
          <w:color w:val="000000"/>
          <w:u w:color="000000"/>
        </w:rPr>
        <w:t>(a)(1) of title 28, United States Code, subject to any amendments made to such guidelines by act of Congress (regardless of whether such amendments have yet to be incorporated by the Sentencing Commission into amendments issued under section 994 (p) of title 28); and</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(ii) that, except as provided in section 3742 (g), are in effect on the date the defendant is sentenced; or</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ab/>
        <w:t>(B) in the case of a violation of probation or supervised release, the applicable guidelines or policy statements issued by the Sentencing Commission pursuant to section 994 (a)(3) of title 28, United States Code, taking into account any amendments made to such guidelines or policy statements by act of Congress (regardless of whether such amendments have yet to be incorporated by the Sentencing Commission into amendments issued under section 994 (p) of title 28);</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(5) any pertinent policy statement—</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ab/>
        <w:t>(A) issued by the Sentencing Commission pursuant to section 994 (a)(2) of title 28, United States Code, subject to any amendments made to such policy statement by act of Congress (regardless of whether such amendments have yet to be incorporated by the Sentencing Commission into amendments issued under section 994 (p) of title 28); and</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ab/>
        <w:t>(B) that, except as provided in section 3742 (g), is in effect on the date the defendant is sentenced. [1]</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(6) the need to avoid unwarranted sentence disparities among defendants with similar records who have been found guilty of similar conduct; and</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lastRenderedPageBreak/>
        <w:t>(7) the need to provide restitution to any victims of the offense.</w:t>
      </w:r>
    </w:p>
    <w:p w:rsidR="003E3A26" w:rsidRPr="00063BBF" w:rsidRDefault="003E3A26" w:rsidP="003E3A26">
      <w:pPr>
        <w:pStyle w:val="BlockQuote"/>
        <w:rPr>
          <w:color w:val="000000"/>
          <w:u w:color="000000"/>
        </w:rPr>
      </w:pPr>
    </w:p>
    <w:p w:rsidR="003E3A26" w:rsidRPr="00063BBF" w:rsidRDefault="003E3A26" w:rsidP="003E3A26">
      <w:pPr>
        <w:pStyle w:val="NormalDoubleSpace"/>
        <w:ind w:firstLine="720"/>
        <w:rPr>
          <w:color w:val="000000"/>
          <w:u w:color="000000"/>
        </w:rPr>
      </w:pPr>
      <w:r w:rsidRPr="00063BBF">
        <w:rPr>
          <w:color w:val="000000"/>
          <w:u w:color="000000"/>
        </w:rPr>
        <w:t xml:space="preserve">Subsection 3553(a)(6) is concerned with national disparities among the many defendants with similar criminal backgrounds convicted of similar criminal conduct. </w:t>
      </w:r>
      <w:r w:rsidRPr="00063BBF">
        <w:rPr>
          <w:i/>
          <w:color w:val="000000"/>
          <w:u w:color="000000"/>
        </w:rPr>
        <w:t xml:space="preserve">See </w:t>
      </w:r>
      <w:r w:rsidR="00171071">
        <w:rPr>
          <w:i/>
          <w:color w:val="000000"/>
          <w:u w:color="000000"/>
        </w:rPr>
        <w:fldChar w:fldCharType="begin"/>
      </w:r>
      <w:r w:rsidR="00171071">
        <w:instrText xml:space="preserve"> TA \l "</w:instrText>
      </w:r>
      <w:r w:rsidR="00171071" w:rsidRPr="00171071">
        <w:rPr>
          <w:i/>
          <w:color w:val="000000"/>
          <w:u w:color="000000"/>
        </w:rPr>
        <w:instrText>United States v Poynter</w:instrText>
      </w:r>
      <w:r w:rsidR="00171071" w:rsidRPr="00171071">
        <w:rPr>
          <w:color w:val="000000"/>
          <w:u w:color="000000"/>
        </w:rPr>
        <w:instrText>, 495 F3d 349 (CA 6, 2007)</w:instrText>
      </w:r>
      <w:r w:rsidR="00171071">
        <w:instrText xml:space="preserve">" \s "WSFTA_8be98ed50b854e23bcb851cbe9cc91ef" \c 3 </w:instrText>
      </w:r>
      <w:r w:rsidR="00171071">
        <w:rPr>
          <w:i/>
          <w:color w:val="000000"/>
          <w:u w:color="000000"/>
        </w:rPr>
        <w:fldChar w:fldCharType="end"/>
      </w:r>
      <w:r w:rsidRPr="00063BBF">
        <w:rPr>
          <w:i/>
          <w:color w:val="000000"/>
          <w:u w:color="000000"/>
        </w:rPr>
        <w:t>United States v Poynter</w:t>
      </w:r>
      <w:r w:rsidRPr="00063BBF">
        <w:rPr>
          <w:color w:val="000000"/>
          <w:u w:color="000000"/>
        </w:rPr>
        <w:t xml:space="preserve">, 495 F3d 349, 351-56 (CA 6, 2007); </w:t>
      </w:r>
      <w:r w:rsidR="00171071">
        <w:rPr>
          <w:color w:val="000000"/>
          <w:u w:color="000000"/>
        </w:rPr>
        <w:fldChar w:fldCharType="begin"/>
      </w:r>
      <w:r w:rsidR="00171071">
        <w:instrText xml:space="preserve"> TA \l "</w:instrText>
      </w:r>
      <w:r w:rsidR="00171071" w:rsidRPr="00171071">
        <w:rPr>
          <w:i/>
          <w:color w:val="000000"/>
          <w:u w:color="000000"/>
        </w:rPr>
        <w:instrText>United States v LaSalle</w:instrText>
      </w:r>
      <w:r w:rsidR="00171071" w:rsidRPr="00171071">
        <w:rPr>
          <w:color w:val="000000"/>
          <w:u w:color="000000"/>
        </w:rPr>
        <w:instrText>, 948 F2d 215 (CA 6, 1991)</w:instrText>
      </w:r>
      <w:r w:rsidR="00171071">
        <w:instrText xml:space="preserve">" \s "WSFTA_261ce4c541f14e06a49becf6395e75ad" \c 3 </w:instrText>
      </w:r>
      <w:r w:rsidR="00171071">
        <w:rPr>
          <w:color w:val="000000"/>
          <w:u w:color="000000"/>
        </w:rPr>
        <w:fldChar w:fldCharType="end"/>
      </w:r>
      <w:r w:rsidRPr="00063BBF">
        <w:rPr>
          <w:i/>
          <w:color w:val="000000"/>
          <w:u w:color="000000"/>
        </w:rPr>
        <w:t>United States v LaSalle</w:t>
      </w:r>
      <w:r w:rsidRPr="00063BBF">
        <w:rPr>
          <w:color w:val="000000"/>
          <w:u w:color="000000"/>
        </w:rPr>
        <w:t xml:space="preserve">, 948 F2d 215, 218 (CA 6, 1991); </w:t>
      </w:r>
      <w:r w:rsidR="00171071">
        <w:rPr>
          <w:color w:val="000000"/>
          <w:u w:color="000000"/>
        </w:rPr>
        <w:fldChar w:fldCharType="begin"/>
      </w:r>
      <w:r w:rsidR="00171071">
        <w:instrText xml:space="preserve"> TA \l "</w:instrText>
      </w:r>
      <w:r w:rsidR="00171071" w:rsidRPr="00171071">
        <w:rPr>
          <w:i/>
          <w:color w:val="000000"/>
          <w:u w:color="000000"/>
        </w:rPr>
        <w:instrText>United States v Parker</w:instrText>
      </w:r>
      <w:r w:rsidR="00171071" w:rsidRPr="00171071">
        <w:rPr>
          <w:color w:val="000000"/>
          <w:u w:color="000000"/>
        </w:rPr>
        <w:instrText>, 912 F2d 156 (CA 6, 1990)</w:instrText>
      </w:r>
      <w:r w:rsidR="00171071">
        <w:instrText xml:space="preserve">" \s "WSFTA_90e6612e490e4344926e01d9b68ac0f6" \c 3 </w:instrText>
      </w:r>
      <w:r w:rsidR="00171071">
        <w:rPr>
          <w:color w:val="000000"/>
          <w:u w:color="000000"/>
        </w:rPr>
        <w:fldChar w:fldCharType="end"/>
      </w:r>
      <w:r w:rsidRPr="00063BBF">
        <w:rPr>
          <w:i/>
          <w:color w:val="000000"/>
          <w:u w:color="000000"/>
        </w:rPr>
        <w:t>United States v Parker</w:t>
      </w:r>
      <w:r w:rsidRPr="00063BBF">
        <w:rPr>
          <w:color w:val="000000"/>
          <w:u w:color="000000"/>
        </w:rPr>
        <w:t xml:space="preserve">, 912 F2d 156, 158 (CA 6, 1990); </w:t>
      </w:r>
      <w:r w:rsidR="00171071">
        <w:rPr>
          <w:color w:val="000000"/>
          <w:u w:color="000000"/>
        </w:rPr>
        <w:fldChar w:fldCharType="begin"/>
      </w:r>
      <w:r w:rsidR="00171071">
        <w:instrText xml:space="preserve"> TA \l "</w:instrText>
      </w:r>
      <w:r w:rsidR="00171071" w:rsidRPr="00171071">
        <w:rPr>
          <w:i/>
          <w:color w:val="000000"/>
          <w:u w:color="000000"/>
        </w:rPr>
        <w:instrText>United States v Simmons</w:instrText>
      </w:r>
      <w:r w:rsidR="00171071" w:rsidRPr="00171071">
        <w:rPr>
          <w:color w:val="000000"/>
          <w:u w:color="000000"/>
        </w:rPr>
        <w:instrText>, 501 F3d 620 (CA 6 2007)</w:instrText>
      </w:r>
      <w:r w:rsidR="00171071">
        <w:instrText xml:space="preserve">" \s "WSFTA_af6e43ce1e45415ba9fa643ba6451ad3" \c 3 </w:instrText>
      </w:r>
      <w:r w:rsidR="00171071">
        <w:rPr>
          <w:color w:val="000000"/>
          <w:u w:color="000000"/>
        </w:rPr>
        <w:fldChar w:fldCharType="end"/>
      </w:r>
      <w:r w:rsidRPr="00063BBF">
        <w:rPr>
          <w:i/>
          <w:color w:val="000000"/>
          <w:u w:color="000000"/>
        </w:rPr>
        <w:t>United States v Simmons</w:t>
      </w:r>
      <w:r w:rsidRPr="00063BBF">
        <w:rPr>
          <w:color w:val="000000"/>
          <w:u w:color="000000"/>
        </w:rPr>
        <w:t>, 501 F3d 620, 623 (CA 6 2007).</w:t>
      </w:r>
    </w:p>
    <w:p w:rsidR="003E3A26" w:rsidRPr="00063BBF" w:rsidRDefault="003E3A26" w:rsidP="003E3A26">
      <w:pPr>
        <w:pStyle w:val="NormalDoubleSpace"/>
        <w:ind w:firstLine="720"/>
        <w:rPr>
          <w:color w:val="000000"/>
          <w:u w:color="000000"/>
        </w:rPr>
      </w:pPr>
      <w:r w:rsidRPr="00063BBF">
        <w:rPr>
          <w:color w:val="000000"/>
          <w:u w:color="000000"/>
        </w:rPr>
        <w:t xml:space="preserve">In </w:t>
      </w:r>
      <w:r w:rsidR="00171071">
        <w:rPr>
          <w:color w:val="000000"/>
          <w:u w:color="000000"/>
        </w:rPr>
        <w:fldChar w:fldCharType="begin"/>
      </w:r>
      <w:r w:rsidR="00171071">
        <w:instrText xml:space="preserve"> TA \l "" \s "WSFTA_3413a63f07f24179ba65613e59b3392c" \c 3 </w:instrText>
      </w:r>
      <w:r w:rsidR="00171071">
        <w:rPr>
          <w:color w:val="000000"/>
          <w:u w:color="000000"/>
        </w:rPr>
        <w:fldChar w:fldCharType="end"/>
      </w:r>
      <w:r w:rsidRPr="00063BBF">
        <w:rPr>
          <w:i/>
          <w:color w:val="000000"/>
          <w:u w:color="000000"/>
        </w:rPr>
        <w:t>Gall v United States, supra</w:t>
      </w:r>
      <w:r w:rsidRPr="00063BBF">
        <w:rPr>
          <w:color w:val="000000"/>
          <w:u w:color="000000"/>
        </w:rPr>
        <w:t xml:space="preserve">, the Supreme Court made clear that reasonableness review is a two-step process in which the courts of appeals first consider procedural reasonableness by determining whether the sentencing court correctly determined the guideline range, properly considered the §3553(a) factors, and sufficiently explained the sentence imposed; and then consider the substantive reasonableness of the sentence. The first step is “to ensure that the district court committed no significant procedural error, such as failing to calculate (or improperly calculating) the Guidelines range, treating the Guidelines as mandatory, failing to consider the § 3553(a) factors, selecting a sentence based on clearly erroneous facts, or failing to adequately explain the chosen sentence.” “Assuming that the district court’s sentencing decision is procedurally sound, the appellate court,” as a second step, should then consider the substantive reasonableness of the sentence imposed under an abuse-of-discretion standard,” taking into account “the totality of the circumstances.” </w:t>
      </w:r>
    </w:p>
    <w:p w:rsidR="003E3A26" w:rsidRPr="00063BBF" w:rsidRDefault="003E3A26" w:rsidP="003E3A26">
      <w:pPr>
        <w:pStyle w:val="NormalDoubleSpace"/>
        <w:ind w:firstLine="720"/>
        <w:rPr>
          <w:color w:val="000000"/>
          <w:u w:color="000000"/>
        </w:rPr>
      </w:pPr>
      <w:r w:rsidRPr="00063BBF">
        <w:rPr>
          <w:color w:val="000000"/>
          <w:u w:color="000000"/>
        </w:rPr>
        <w:t xml:space="preserve">The Court in </w:t>
      </w:r>
      <w:r w:rsidRPr="00063BBF">
        <w:rPr>
          <w:i/>
          <w:color w:val="000000"/>
          <w:u w:color="000000"/>
        </w:rPr>
        <w:t>Gall</w:t>
      </w:r>
      <w:r w:rsidRPr="00063BBF">
        <w:rPr>
          <w:color w:val="000000"/>
          <w:u w:color="000000"/>
        </w:rPr>
        <w:t xml:space="preserve"> also addressed whether the standard of review is heightened depending on how far outside the guideline range the sentence falls. The Court stated that it is “clear that a district judge must give serious consideration to the extent of any departure from the Guidelines and must explain his conclusion that an unusually lenient or an unusually harsh sentence is appropriate in a particular case with sufficient justifications.”  If a court chooses a sentence </w:t>
      </w:r>
      <w:r w:rsidRPr="00063BBF">
        <w:rPr>
          <w:color w:val="000000"/>
          <w:u w:color="000000"/>
        </w:rPr>
        <w:lastRenderedPageBreak/>
        <w:t xml:space="preserve">outside the guideline range, the court “must consider the extent of the deviation and ensure that the justification is sufficiently compelling to support the degree of the variance” and must provide an explanation sufficient “to allow for meaningful appellate review and to promote the perception of fair sentencing.” </w:t>
      </w:r>
    </w:p>
    <w:p w:rsidR="003E3A26" w:rsidRPr="00063BBF" w:rsidRDefault="003E3A26" w:rsidP="003E3A26">
      <w:pPr>
        <w:pStyle w:val="BlockQuote"/>
        <w:rPr>
          <w:color w:val="000000"/>
          <w:u w:color="000000"/>
        </w:rPr>
      </w:pPr>
      <w:r w:rsidRPr="00063BBF">
        <w:rPr>
          <w:color w:val="000000"/>
          <w:u w:color="000000"/>
        </w:rPr>
        <w:t xml:space="preserve">If [the sentencing judge] decides that an outside-Guidelines sentence is warranted, he must consider the extent of the deviation and ensure that the justification is sufficiently compelling to support the degree of the variance. We find it uncontroversial that a major departure should be supported by a more significant justification than a minor one. After settling on the appropriate sentence, he must adequately explain the chosen sentence to allow for meaningful appellate review and to promote the perception of fair sentencing.  </w:t>
      </w:r>
      <w:r w:rsidR="00171071">
        <w:rPr>
          <w:color w:val="000000"/>
          <w:u w:color="000000"/>
        </w:rPr>
        <w:fldChar w:fldCharType="begin"/>
      </w:r>
      <w:r w:rsidR="00171071">
        <w:instrText xml:space="preserve"> TA \l "" \s "WSFTA_3413a63f07f24179ba65613e59b3392c" \c 3 </w:instrText>
      </w:r>
      <w:r w:rsidR="00171071">
        <w:rPr>
          <w:color w:val="000000"/>
          <w:u w:color="000000"/>
        </w:rPr>
        <w:fldChar w:fldCharType="end"/>
      </w:r>
      <w:r w:rsidRPr="00063BBF">
        <w:rPr>
          <w:i/>
          <w:color w:val="000000"/>
          <w:u w:color="000000"/>
        </w:rPr>
        <w:t>Gall, supra</w:t>
      </w:r>
      <w:r w:rsidRPr="00063BBF">
        <w:rPr>
          <w:color w:val="000000"/>
          <w:u w:color="000000"/>
        </w:rPr>
        <w:t xml:space="preserve"> at 50.</w:t>
      </w:r>
    </w:p>
    <w:p w:rsidR="003E3A26" w:rsidRPr="00063BBF" w:rsidRDefault="003E3A26" w:rsidP="003E3A26">
      <w:pPr>
        <w:pStyle w:val="BlockQuote"/>
        <w:rPr>
          <w:color w:val="000000"/>
          <w:u w:color="000000"/>
        </w:rPr>
      </w:pPr>
    </w:p>
    <w:p w:rsidR="003E3A26" w:rsidRPr="00063BBF" w:rsidRDefault="003E3A26" w:rsidP="003E3A26">
      <w:pPr>
        <w:pStyle w:val="NormalDoubleSpace"/>
        <w:ind w:firstLine="720"/>
        <w:rPr>
          <w:color w:val="000000"/>
          <w:u w:color="000000"/>
        </w:rPr>
      </w:pPr>
      <w:r w:rsidRPr="00063BBF">
        <w:rPr>
          <w:color w:val="000000"/>
          <w:u w:color="000000"/>
        </w:rPr>
        <w:t xml:space="preserve">Furthermore when a judge varies in a “mine-run case” based “solely on the judge’s view that the Guidelines range ‘fails properly to reflect § 3553(a) considerations,’” closer review may be in order. As the Court acknowledged in </w:t>
      </w:r>
      <w:r w:rsidR="00171071">
        <w:rPr>
          <w:color w:val="000000"/>
          <w:u w:color="000000"/>
        </w:rPr>
        <w:fldChar w:fldCharType="begin"/>
      </w:r>
      <w:r w:rsidR="00171071">
        <w:instrText xml:space="preserve"> TA \l "</w:instrText>
      </w:r>
      <w:r w:rsidR="00171071" w:rsidRPr="00171071">
        <w:rPr>
          <w:i/>
          <w:color w:val="000000"/>
          <w:u w:color="000000"/>
        </w:rPr>
        <w:instrText>United States v Castillo</w:instrText>
      </w:r>
      <w:r w:rsidR="00171071" w:rsidRPr="00171071">
        <w:rPr>
          <w:color w:val="000000"/>
          <w:u w:color="000000"/>
        </w:rPr>
        <w:instrText>, 695 F3d 672 (CA 7, 2012)</w:instrText>
      </w:r>
      <w:r w:rsidR="00171071">
        <w:instrText xml:space="preserve">" \s "WSFTA_66d01a373cdb4491a66d35b31bd85588" \c 3 </w:instrText>
      </w:r>
      <w:r w:rsidR="00171071">
        <w:rPr>
          <w:color w:val="000000"/>
          <w:u w:color="000000"/>
        </w:rPr>
        <w:fldChar w:fldCharType="end"/>
      </w:r>
      <w:r w:rsidRPr="00063BBF">
        <w:rPr>
          <w:i/>
          <w:color w:val="000000"/>
          <w:u w:color="000000"/>
        </w:rPr>
        <w:t>United States v Castillo</w:t>
      </w:r>
      <w:r w:rsidRPr="00063BBF">
        <w:rPr>
          <w:color w:val="000000"/>
          <w:u w:color="000000"/>
        </w:rPr>
        <w:t>, 695 F3d 672 (CA 7, 2012), “the farther the judge’s sentence departs from the guidelines . . . the more compelling the justification based on factors in section 3553(a) that the judge must offer to enable the court of appeals to assess the reasonableness of the sentence imposed.”</w:t>
      </w:r>
    </w:p>
    <w:p w:rsidR="003E3A26" w:rsidRPr="00063BBF" w:rsidRDefault="003E3A26" w:rsidP="003E3A26">
      <w:pPr>
        <w:pStyle w:val="NormalDoubleSpace"/>
        <w:ind w:firstLine="720"/>
        <w:rPr>
          <w:color w:val="000000"/>
          <w:u w:color="000000"/>
        </w:rPr>
      </w:pPr>
      <w:r w:rsidRPr="00063BBF">
        <w:rPr>
          <w:color w:val="000000"/>
          <w:u w:color="000000"/>
        </w:rPr>
        <w:t xml:space="preserve">Some appellate courts have faulted sentencing courts for failing to explain why it is not imposing a certain sentence proposed by either the government or the defendant. For example, in </w:t>
      </w:r>
      <w:r w:rsidR="00171071">
        <w:rPr>
          <w:color w:val="000000"/>
          <w:u w:color="000000"/>
        </w:rPr>
        <w:fldChar w:fldCharType="begin"/>
      </w:r>
      <w:r w:rsidR="00171071">
        <w:instrText xml:space="preserve"> TA \l "</w:instrText>
      </w:r>
      <w:r w:rsidR="00171071" w:rsidRPr="00171071">
        <w:rPr>
          <w:i/>
          <w:color w:val="000000"/>
          <w:u w:color="000000"/>
        </w:rPr>
        <w:instrText>United States v Hall</w:instrText>
      </w:r>
      <w:r w:rsidR="00171071" w:rsidRPr="00171071">
        <w:rPr>
          <w:color w:val="000000"/>
          <w:u w:color="000000"/>
        </w:rPr>
        <w:instrText>, 610 F3d 727 (DC Cir. 2010)</w:instrText>
      </w:r>
      <w:r w:rsidR="00171071">
        <w:instrText xml:space="preserve">" \s "WSFTA_c10c4ea16a864189b157656617f40d6b" \c 3 </w:instrText>
      </w:r>
      <w:r w:rsidR="00171071">
        <w:rPr>
          <w:color w:val="000000"/>
          <w:u w:color="000000"/>
        </w:rPr>
        <w:fldChar w:fldCharType="end"/>
      </w:r>
      <w:r w:rsidRPr="00063BBF">
        <w:rPr>
          <w:i/>
          <w:color w:val="000000"/>
          <w:u w:color="000000"/>
        </w:rPr>
        <w:t>United States v Hall</w:t>
      </w:r>
      <w:r w:rsidRPr="00063BBF">
        <w:rPr>
          <w:color w:val="000000"/>
          <w:u w:color="000000"/>
        </w:rPr>
        <w:t xml:space="preserve">, 610 F3d 727, 745 (DC Cir. 2010), the District of Columbia Circuit reversed a within range sentence where, among other things, “the district court did not explain why, in view of the factors in </w:t>
      </w:r>
      <w:r w:rsidR="00171071">
        <w:rPr>
          <w:color w:val="000000"/>
          <w:u w:color="000000"/>
        </w:rPr>
        <w:fldChar w:fldCharType="begin"/>
      </w:r>
      <w:r w:rsidR="00171071">
        <w:instrText xml:space="preserve"> TA \l "" \s "WSFTA_dea30fd98a61458bae94cb64dba347b6" \c 6 </w:instrText>
      </w:r>
      <w:r w:rsidR="00171071">
        <w:rPr>
          <w:color w:val="000000"/>
          <w:u w:color="000000"/>
        </w:rPr>
        <w:fldChar w:fldCharType="end"/>
      </w:r>
      <w:r w:rsidRPr="00063BBF">
        <w:rPr>
          <w:color w:val="000000"/>
          <w:u w:color="000000"/>
        </w:rPr>
        <w:t xml:space="preserve">18 </w:t>
      </w:r>
      <w:proofErr w:type="spellStart"/>
      <w:r w:rsidRPr="00063BBF">
        <w:rPr>
          <w:color w:val="000000"/>
          <w:u w:color="000000"/>
        </w:rPr>
        <w:t>U.S.C</w:t>
      </w:r>
      <w:proofErr w:type="spellEnd"/>
      <w:r w:rsidRPr="00063BBF">
        <w:rPr>
          <w:color w:val="000000"/>
          <w:u w:color="000000"/>
        </w:rPr>
        <w:t xml:space="preserve">. § 3553(a), a sentence of 188 months was necessary, much less why the lower sentence that Hall requested would be insufficient. </w:t>
      </w:r>
    </w:p>
    <w:p w:rsidR="003E3A26" w:rsidRPr="00063BBF" w:rsidRDefault="003E3A26" w:rsidP="003E3A26">
      <w:pPr>
        <w:pStyle w:val="NormalDoubleSpace"/>
        <w:rPr>
          <w:b/>
          <w:color w:val="000000"/>
          <w:u w:color="000000"/>
        </w:rPr>
      </w:pPr>
      <w:r w:rsidRPr="00063BBF">
        <w:rPr>
          <w:b/>
          <w:color w:val="000000"/>
          <w:u w:color="000000"/>
        </w:rPr>
        <w:t>Defendant’</w:t>
      </w:r>
      <w:r w:rsidR="00C851DF">
        <w:rPr>
          <w:b/>
          <w:color w:val="000000"/>
          <w:u w:color="000000"/>
        </w:rPr>
        <w:t>s Sentence I</w:t>
      </w:r>
      <w:r w:rsidRPr="00063BBF">
        <w:rPr>
          <w:b/>
          <w:color w:val="000000"/>
          <w:u w:color="000000"/>
        </w:rPr>
        <w:t>s Unreasonable</w:t>
      </w:r>
    </w:p>
    <w:p w:rsidR="003E3A26" w:rsidRPr="00063BBF" w:rsidRDefault="003E3A26" w:rsidP="003E3A26">
      <w:pPr>
        <w:pStyle w:val="NormalDoubleSpace"/>
        <w:ind w:firstLine="720"/>
        <w:rPr>
          <w:color w:val="000000"/>
          <w:u w:color="000000"/>
        </w:rPr>
      </w:pPr>
      <w:r w:rsidRPr="00063BBF">
        <w:rPr>
          <w:color w:val="000000"/>
          <w:u w:color="000000"/>
        </w:rPr>
        <w:lastRenderedPageBreak/>
        <w:t>The sentencing guidelines, as scored, recommended a minimum sentence of 171 to 285 months.  The trial court departed from the guidelines and imposed a sentence of 30 to 60 years in prison, stating the following reasons for departure:</w:t>
      </w:r>
    </w:p>
    <w:p w:rsidR="003E3A26" w:rsidRPr="00063BBF" w:rsidRDefault="003E3A26" w:rsidP="003E3A26">
      <w:pPr>
        <w:pStyle w:val="BlockQuote"/>
        <w:rPr>
          <w:color w:val="000000"/>
          <w:u w:color="000000"/>
        </w:rPr>
      </w:pPr>
      <w:r w:rsidRPr="00063BBF">
        <w:rPr>
          <w:color w:val="000000"/>
          <w:u w:color="000000"/>
        </w:rPr>
        <w:t xml:space="preserve">[T]he first two factors that the prosecutor mentions the horrendous, brutal assault on this young man when basically appeared by the facts that you thought he was somehow rendered weak or incapacitated by his drug use at that time. </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And the action taken by you towards a person who considers you a friend does substantiate the thought that you are a person without a conscience, a person who’s violent and depraved and that this is an assault that is quite shocking even to people who have been in the courts for 20 and more years.  (ST 36).</w:t>
      </w:r>
    </w:p>
    <w:p w:rsidR="003E3A26" w:rsidRPr="00063BBF" w:rsidRDefault="003E3A26" w:rsidP="003E3A26">
      <w:pPr>
        <w:pStyle w:val="BlockQuote"/>
        <w:rPr>
          <w:color w:val="000000"/>
          <w:u w:color="000000"/>
        </w:rPr>
      </w:pPr>
    </w:p>
    <w:p w:rsidR="003E3A26" w:rsidRPr="00063BBF" w:rsidRDefault="003E3A26" w:rsidP="003E3A26">
      <w:pPr>
        <w:pStyle w:val="NormalDoubleSpace"/>
        <w:ind w:firstLine="720"/>
        <w:rPr>
          <w:color w:val="000000"/>
          <w:u w:color="000000"/>
        </w:rPr>
      </w:pPr>
      <w:r w:rsidRPr="00063BBF">
        <w:rPr>
          <w:color w:val="000000"/>
          <w:u w:color="000000"/>
        </w:rPr>
        <w:t xml:space="preserve">The sentence is not procedurally reasonable.  The guidelines were not scored accurately.  </w:t>
      </w:r>
      <w:proofErr w:type="spellStart"/>
      <w:r w:rsidRPr="00063BBF">
        <w:rPr>
          <w:color w:val="000000"/>
          <w:u w:color="000000"/>
        </w:rPr>
        <w:t>OV</w:t>
      </w:r>
      <w:proofErr w:type="spellEnd"/>
      <w:r w:rsidRPr="00063BBF">
        <w:rPr>
          <w:color w:val="000000"/>
          <w:u w:color="000000"/>
        </w:rPr>
        <w:t xml:space="preserve"> 6 was erroneously scored at 50 points.  As the statute reads, only when there is an actual killing in a circumstance in which the crime would have been a felony-murder is the intent which can support such a conviction sufficient for a scoring of fifty points.  The trial court erred in finding that a score of 50 could be imposed if the assault occurred during an attempted larceny.  Where the conviction crime, as here, is assault with intent to commit murder, the scoring depends on whether the accused had a premeditated or unpremeditated intent to kill, and the trial court erred in finding that Mr. </w:t>
      </w:r>
      <w:r w:rsidR="00C079C3">
        <w:rPr>
          <w:color w:val="000000"/>
          <w:u w:color="000000"/>
        </w:rPr>
        <w:t>Defendant</w:t>
      </w:r>
      <w:r w:rsidRPr="00063BBF">
        <w:rPr>
          <w:color w:val="000000"/>
          <w:u w:color="000000"/>
        </w:rPr>
        <w:t xml:space="preserve"> premeditated a plan to murder.  The charged assault with intent to murder was spontaneous and not part of a premeditated plan to murder by Mr. </w:t>
      </w:r>
      <w:r w:rsidR="00C079C3">
        <w:rPr>
          <w:color w:val="000000"/>
          <w:u w:color="000000"/>
        </w:rPr>
        <w:t>Defendant</w:t>
      </w:r>
      <w:r w:rsidRPr="00063BBF">
        <w:rPr>
          <w:color w:val="000000"/>
          <w:u w:color="000000"/>
        </w:rPr>
        <w:t xml:space="preserve">.  </w:t>
      </w:r>
    </w:p>
    <w:p w:rsidR="003E3A26" w:rsidRPr="00063BBF" w:rsidRDefault="003E3A26" w:rsidP="003E3A26">
      <w:pPr>
        <w:pStyle w:val="NormalDoubleSpace"/>
        <w:ind w:firstLine="720"/>
        <w:rPr>
          <w:color w:val="000000"/>
          <w:u w:color="000000"/>
        </w:rPr>
      </w:pPr>
      <w:r w:rsidRPr="00063BBF">
        <w:rPr>
          <w:color w:val="000000"/>
          <w:u w:color="000000"/>
        </w:rPr>
        <w:t xml:space="preserve">There is no record support for the scoring of </w:t>
      </w:r>
      <w:proofErr w:type="spellStart"/>
      <w:r w:rsidRPr="00063BBF">
        <w:rPr>
          <w:color w:val="000000"/>
          <w:u w:color="000000"/>
        </w:rPr>
        <w:t>OV</w:t>
      </w:r>
      <w:proofErr w:type="spellEnd"/>
      <w:r w:rsidRPr="00063BBF">
        <w:rPr>
          <w:color w:val="000000"/>
          <w:u w:color="000000"/>
        </w:rPr>
        <w:t xml:space="preserve"> 5. Being “deeply affected” by the incident does not constitute “serious psychological injury” under the statute. Just as “excessive” modifies “brutality” in </w:t>
      </w:r>
      <w:proofErr w:type="spellStart"/>
      <w:r w:rsidRPr="00063BBF">
        <w:rPr>
          <w:color w:val="000000"/>
          <w:u w:color="000000"/>
        </w:rPr>
        <w:t>OV</w:t>
      </w:r>
      <w:proofErr w:type="spellEnd"/>
      <w:r w:rsidRPr="00063BBF">
        <w:rPr>
          <w:color w:val="000000"/>
          <w:u w:color="000000"/>
        </w:rPr>
        <w:t xml:space="preserve"> 7, “serious” modifies “psychological injury” in </w:t>
      </w:r>
      <w:proofErr w:type="spellStart"/>
      <w:r w:rsidRPr="00063BBF">
        <w:rPr>
          <w:color w:val="000000"/>
          <w:u w:color="000000"/>
        </w:rPr>
        <w:t>OV</w:t>
      </w:r>
      <w:proofErr w:type="spellEnd"/>
      <w:r w:rsidRPr="00063BBF">
        <w:rPr>
          <w:color w:val="000000"/>
          <w:u w:color="000000"/>
        </w:rPr>
        <w:t xml:space="preserve"> 5. Not just any psychological injury may be scored, only serious ones. </w:t>
      </w:r>
      <w:proofErr w:type="spellStart"/>
      <w:r w:rsidRPr="00063BBF">
        <w:rPr>
          <w:color w:val="000000"/>
          <w:u w:color="000000"/>
        </w:rPr>
        <w:t>OV</w:t>
      </w:r>
      <w:proofErr w:type="spellEnd"/>
      <w:r w:rsidRPr="00063BBF">
        <w:rPr>
          <w:color w:val="000000"/>
          <w:u w:color="000000"/>
        </w:rPr>
        <w:t xml:space="preserve"> 5 may only be score</w:t>
      </w:r>
      <w:bookmarkStart w:id="22" w:name="_GoBack"/>
      <w:bookmarkEnd w:id="22"/>
      <w:r w:rsidRPr="00063BBF">
        <w:rPr>
          <w:color w:val="000000"/>
          <w:u w:color="000000"/>
        </w:rPr>
        <w:t xml:space="preserve">d in homicide offenses or, recently, assault with intent to murder. </w:t>
      </w:r>
      <w:r w:rsidR="00171071">
        <w:rPr>
          <w:color w:val="000000"/>
          <w:u w:color="000000"/>
        </w:rPr>
        <w:fldChar w:fldCharType="begin"/>
      </w:r>
      <w:r w:rsidR="00171071">
        <w:instrText xml:space="preserve"> TA \l "</w:instrText>
      </w:r>
      <w:r w:rsidR="00171071" w:rsidRPr="00171071">
        <w:rPr>
          <w:color w:val="000000"/>
          <w:u w:color="000000"/>
        </w:rPr>
        <w:instrText>MCL 777.22(1)</w:instrText>
      </w:r>
      <w:r w:rsidR="00171071">
        <w:instrText xml:space="preserve">" \s "WSFTA_0112603fac5244e4889e21690d146f89" \c 6 </w:instrText>
      </w:r>
      <w:r w:rsidR="00171071">
        <w:rPr>
          <w:color w:val="000000"/>
          <w:u w:color="000000"/>
        </w:rPr>
        <w:fldChar w:fldCharType="end"/>
      </w:r>
      <w:r w:rsidRPr="00063BBF">
        <w:rPr>
          <w:color w:val="000000"/>
          <w:u w:color="000000"/>
        </w:rPr>
        <w:t xml:space="preserve">MCL 777.22(1). In context, the statute </w:t>
      </w:r>
      <w:r w:rsidRPr="00063BBF">
        <w:rPr>
          <w:color w:val="000000"/>
          <w:u w:color="000000"/>
        </w:rPr>
        <w:lastRenderedPageBreak/>
        <w:t xml:space="preserve">recognizes that psychological injury to the decedent’s family is often a characteristic of homicide offenses and that some people may suffer it at a serious level that may require treatment. It is only at that serious level that points are assessed. Here, </w:t>
      </w:r>
      <w:proofErr w:type="spellStart"/>
      <w:r w:rsidRPr="00063BBF">
        <w:rPr>
          <w:color w:val="000000"/>
          <w:u w:color="000000"/>
        </w:rPr>
        <w:t>OV</w:t>
      </w:r>
      <w:proofErr w:type="spellEnd"/>
      <w:r w:rsidRPr="00063BBF">
        <w:rPr>
          <w:color w:val="000000"/>
          <w:u w:color="000000"/>
        </w:rPr>
        <w:t xml:space="preserve"> 5 should not have been scored as there was no indication that the decedent’s family suffered serious psychological harm that may require professional treatment, even if it were true that “we’re ..in the process of getting psychological help for what happened.” </w:t>
      </w:r>
      <w:r w:rsidR="00171071">
        <w:rPr>
          <w:color w:val="000000"/>
          <w:u w:color="000000"/>
        </w:rPr>
        <w:fldChar w:fldCharType="begin"/>
      </w:r>
      <w:r w:rsidR="00171071">
        <w:instrText xml:space="preserve"> TA \l "</w:instrText>
      </w:r>
      <w:r w:rsidR="00171071" w:rsidRPr="00171071">
        <w:rPr>
          <w:i/>
          <w:color w:val="000000"/>
          <w:u w:color="000000"/>
        </w:rPr>
        <w:instrText>People v Hicks</w:instrText>
      </w:r>
      <w:r w:rsidR="00171071" w:rsidRPr="00171071">
        <w:rPr>
          <w:color w:val="000000"/>
          <w:u w:color="000000"/>
        </w:rPr>
        <w:instrText>, 259 Mich App 518, 675 NW2d 599 (2003)</w:instrText>
      </w:r>
      <w:r w:rsidR="00171071">
        <w:instrText xml:space="preserve">" \s "WSFTA_270a6b0d6f134956a58c8cabef7dbb4b" \c 3 </w:instrText>
      </w:r>
      <w:r w:rsidR="00171071">
        <w:rPr>
          <w:color w:val="000000"/>
          <w:u w:color="000000"/>
        </w:rPr>
        <w:fldChar w:fldCharType="end"/>
      </w:r>
      <w:r w:rsidRPr="00063BBF">
        <w:rPr>
          <w:i/>
          <w:color w:val="000000"/>
          <w:u w:color="000000"/>
        </w:rPr>
        <w:t>People v Hicks</w:t>
      </w:r>
      <w:r w:rsidRPr="00063BBF">
        <w:rPr>
          <w:color w:val="000000"/>
          <w:u w:color="000000"/>
        </w:rPr>
        <w:t xml:space="preserve">, 259 </w:t>
      </w:r>
      <w:proofErr w:type="spellStart"/>
      <w:r w:rsidRPr="00063BBF">
        <w:rPr>
          <w:color w:val="000000"/>
          <w:u w:color="000000"/>
        </w:rPr>
        <w:t>Mich</w:t>
      </w:r>
      <w:proofErr w:type="spellEnd"/>
      <w:r w:rsidRPr="00063BBF">
        <w:rPr>
          <w:color w:val="000000"/>
          <w:u w:color="000000"/>
        </w:rPr>
        <w:t xml:space="preserve"> App 518, 534-535, 675 NW2d 599 (2003).</w:t>
      </w:r>
    </w:p>
    <w:p w:rsidR="003E3A26" w:rsidRPr="00063BBF" w:rsidRDefault="003E3A26" w:rsidP="003E3A26">
      <w:pPr>
        <w:pStyle w:val="NormalDoubleSpace"/>
        <w:ind w:firstLine="720"/>
        <w:rPr>
          <w:color w:val="000000"/>
          <w:u w:color="000000"/>
        </w:rPr>
      </w:pPr>
      <w:r w:rsidRPr="00063BBF">
        <w:rPr>
          <w:color w:val="000000"/>
          <w:u w:color="000000"/>
        </w:rPr>
        <w:t xml:space="preserve">The sentence is also substantively unreasonable.  According to </w:t>
      </w:r>
      <w:r w:rsidR="00171071">
        <w:rPr>
          <w:color w:val="000000"/>
          <w:u w:color="000000"/>
        </w:rPr>
        <w:fldChar w:fldCharType="begin"/>
      </w:r>
      <w:r w:rsidR="00171071">
        <w:instrText xml:space="preserve"> TA \l "" \s "WSFTA_3413a63f07f24179ba65613e59b3392c" \c 3 </w:instrText>
      </w:r>
      <w:r w:rsidR="00171071">
        <w:rPr>
          <w:color w:val="000000"/>
          <w:u w:color="000000"/>
        </w:rPr>
        <w:fldChar w:fldCharType="end"/>
      </w:r>
      <w:r w:rsidRPr="00063BBF">
        <w:rPr>
          <w:i/>
          <w:color w:val="000000"/>
          <w:u w:color="000000"/>
        </w:rPr>
        <w:t>Gall, supra</w:t>
      </w:r>
      <w:r w:rsidRPr="00063BBF">
        <w:rPr>
          <w:color w:val="000000"/>
          <w:u w:color="000000"/>
        </w:rPr>
        <w:t xml:space="preserve">, the trial court “must consider the extent of the deviation and ensure that the justification is sufficiently compelling to support the degree of the variance.”  The judge’s opinion that Mr. </w:t>
      </w:r>
      <w:r w:rsidR="00C079C3">
        <w:rPr>
          <w:color w:val="000000"/>
          <w:u w:color="000000"/>
        </w:rPr>
        <w:t>Defendant</w:t>
      </w:r>
      <w:r w:rsidRPr="00063BBF">
        <w:rPr>
          <w:color w:val="000000"/>
          <w:u w:color="000000"/>
        </w:rPr>
        <w:t xml:space="preserve"> had no conscience because the victim was his friend was purely subjective, as was the judge’s opinion that the victim was “weakened” by his voluntary act of smoking marijuana (a daily habit for Mr. </w:t>
      </w:r>
      <w:proofErr w:type="spellStart"/>
      <w:r w:rsidRPr="00063BBF">
        <w:rPr>
          <w:color w:val="000000"/>
          <w:u w:color="000000"/>
        </w:rPr>
        <w:t>Valoppi</w:t>
      </w:r>
      <w:proofErr w:type="spellEnd"/>
      <w:r w:rsidRPr="00063BBF">
        <w:rPr>
          <w:color w:val="000000"/>
          <w:u w:color="000000"/>
        </w:rPr>
        <w:t>).  Likewise, Defendant’s alleged lack of conscience and depravity are purely subjective and internal to the mind of the judge. These reasons reflect the judge’s personal opinion about the character of the defendant rather than facts that are capable of being evaluated and confirmed by an appellate court.  These reasons are not compelling.</w:t>
      </w:r>
    </w:p>
    <w:p w:rsidR="003E3A26" w:rsidRPr="00063BBF" w:rsidRDefault="003E3A26" w:rsidP="003E3A26">
      <w:pPr>
        <w:pStyle w:val="NormalDoubleSpace"/>
        <w:ind w:firstLine="720"/>
        <w:rPr>
          <w:color w:val="000000"/>
          <w:u w:color="000000"/>
        </w:rPr>
      </w:pPr>
      <w:r w:rsidRPr="00063BBF">
        <w:rPr>
          <w:color w:val="000000"/>
          <w:u w:color="000000"/>
        </w:rPr>
        <w:t xml:space="preserve">The “horrendous” nature of the offense was a factor already scored in the guidelines.  [See argument below that </w:t>
      </w:r>
      <w:r w:rsidR="00171071">
        <w:rPr>
          <w:color w:val="000000"/>
          <w:u w:color="000000"/>
        </w:rPr>
        <w:fldChar w:fldCharType="begin"/>
      </w:r>
      <w:r w:rsidR="00171071">
        <w:instrText xml:space="preserve"> TA \l "</w:instrText>
      </w:r>
      <w:r w:rsidR="00171071" w:rsidRPr="00171071">
        <w:rPr>
          <w:color w:val="000000"/>
          <w:u w:color="000000"/>
        </w:rPr>
        <w:instrText>MCL 769.34(3)(b)</w:instrText>
      </w:r>
      <w:r w:rsidR="00171071">
        <w:instrText xml:space="preserve">" \s "WSFTA_73d07f1cdb83421abec6b7a8e891d9c2" \c 6 </w:instrText>
      </w:r>
      <w:r w:rsidR="00171071">
        <w:rPr>
          <w:color w:val="000000"/>
          <w:u w:color="000000"/>
        </w:rPr>
        <w:fldChar w:fldCharType="end"/>
      </w:r>
      <w:r w:rsidRPr="00063BBF">
        <w:rPr>
          <w:color w:val="000000"/>
          <w:u w:color="000000"/>
        </w:rPr>
        <w:t xml:space="preserve">MCL 769.34(3)(b) remains valid.]  Mr. </w:t>
      </w:r>
      <w:r w:rsidR="00C079C3">
        <w:rPr>
          <w:color w:val="000000"/>
          <w:u w:color="000000"/>
        </w:rPr>
        <w:t>Defendant</w:t>
      </w:r>
      <w:r w:rsidRPr="00063BBF">
        <w:rPr>
          <w:color w:val="000000"/>
          <w:u w:color="000000"/>
        </w:rPr>
        <w:t xml:space="preserve"> was given a total of 130 points for the victim having been cut with a knife, for the kind of weapon used, for life-threatening injury to the victim, for psychological injury to the victim and his family, and for premeditated murder.  The trial court did not explain how the nature of the crime was given inadequate weight in the guidelines scoring.  Moreover, the judge specifically found that Mr. </w:t>
      </w:r>
      <w:r w:rsidR="00C079C3">
        <w:rPr>
          <w:color w:val="000000"/>
          <w:u w:color="000000"/>
        </w:rPr>
        <w:t>Defendant</w:t>
      </w:r>
      <w:r w:rsidRPr="00063BBF">
        <w:rPr>
          <w:color w:val="000000"/>
          <w:u w:color="000000"/>
        </w:rPr>
        <w:t xml:space="preserve"> did not use excessive brutality when the judge refused to score Defendant under </w:t>
      </w:r>
      <w:proofErr w:type="spellStart"/>
      <w:r w:rsidRPr="00063BBF">
        <w:rPr>
          <w:color w:val="000000"/>
          <w:u w:color="000000"/>
        </w:rPr>
        <w:t>OV</w:t>
      </w:r>
      <w:proofErr w:type="spellEnd"/>
      <w:r w:rsidRPr="00063BBF">
        <w:rPr>
          <w:color w:val="000000"/>
          <w:u w:color="000000"/>
        </w:rPr>
        <w:t xml:space="preserve"> 7 </w:t>
      </w:r>
      <w:r w:rsidRPr="00063BBF">
        <w:rPr>
          <w:color w:val="000000"/>
          <w:u w:color="000000"/>
        </w:rPr>
        <w:lastRenderedPageBreak/>
        <w:t xml:space="preserve">(aggravated physical abuse).  The fact that the court found insufficient evidence of excessive brutality and refused to impose a score under that offense variable, but turned around and departed from the guidelines based on the same facts demonstrates the unreasonableness of the sentence imposed.  Mr. </w:t>
      </w:r>
      <w:proofErr w:type="spellStart"/>
      <w:r w:rsidRPr="00063BBF">
        <w:rPr>
          <w:color w:val="000000"/>
          <w:u w:color="000000"/>
        </w:rPr>
        <w:t>Valoppi</w:t>
      </w:r>
      <w:proofErr w:type="spellEnd"/>
      <w:r w:rsidRPr="00063BBF">
        <w:rPr>
          <w:color w:val="000000"/>
          <w:u w:color="000000"/>
        </w:rPr>
        <w:t xml:space="preserve"> sustained a life-threatening injury, but, again, all of the relevant circumstances were taken into account in scoring the guidelines.  The trial court also failed to explain the extent of the departure.  The trial court failed to impose a sentence that was “sufficient, but not greater than necessary” to achieve the goals of sentencing.</w:t>
      </w:r>
    </w:p>
    <w:p w:rsidR="003E3A26" w:rsidRPr="00063BBF" w:rsidRDefault="00BE04BA" w:rsidP="003E3A26">
      <w:pPr>
        <w:pStyle w:val="NormalDoubleSpace"/>
        <w:rPr>
          <w:b/>
          <w:color w:val="000000"/>
          <w:u w:color="000000"/>
        </w:rPr>
      </w:pPr>
      <w:r w:rsidRPr="00063BBF">
        <w:rPr>
          <w:b/>
          <w:color w:val="000000"/>
          <w:u w:color="000000"/>
        </w:rPr>
        <w:t xml:space="preserve">Validity of </w:t>
      </w:r>
      <w:r w:rsidR="00171071">
        <w:rPr>
          <w:b/>
          <w:color w:val="000000"/>
          <w:u w:color="000000"/>
        </w:rPr>
        <w:fldChar w:fldCharType="begin"/>
      </w:r>
      <w:r w:rsidR="00171071">
        <w:instrText xml:space="preserve"> TA \l "" \s "WSFTA_73d07f1cdb83421abec6b7a8e891d9c2" \c 6 </w:instrText>
      </w:r>
      <w:r w:rsidR="00171071">
        <w:rPr>
          <w:b/>
          <w:color w:val="000000"/>
          <w:u w:color="000000"/>
        </w:rPr>
        <w:fldChar w:fldCharType="end"/>
      </w:r>
      <w:r w:rsidRPr="00063BBF">
        <w:rPr>
          <w:b/>
          <w:color w:val="000000"/>
          <w:u w:color="000000"/>
        </w:rPr>
        <w:t>MCL 769.34(3</w:t>
      </w:r>
      <w:r w:rsidR="003E3A26" w:rsidRPr="00063BBF">
        <w:rPr>
          <w:b/>
          <w:color w:val="000000"/>
          <w:u w:color="000000"/>
        </w:rPr>
        <w:t>)(</w:t>
      </w:r>
      <w:r w:rsidRPr="00063BBF">
        <w:rPr>
          <w:b/>
          <w:color w:val="000000"/>
          <w:u w:color="000000"/>
        </w:rPr>
        <w:t>b</w:t>
      </w:r>
      <w:r w:rsidR="003E3A26" w:rsidRPr="00063BBF">
        <w:rPr>
          <w:b/>
          <w:color w:val="000000"/>
          <w:u w:color="000000"/>
        </w:rPr>
        <w:t>)</w:t>
      </w:r>
    </w:p>
    <w:p w:rsidR="003E3A26" w:rsidRPr="00063BBF" w:rsidRDefault="003E3A26" w:rsidP="003E3A26">
      <w:pPr>
        <w:pStyle w:val="NormalDoubleSpace"/>
        <w:rPr>
          <w:color w:val="000000"/>
          <w:u w:color="000000"/>
        </w:rPr>
      </w:pPr>
      <w:r w:rsidRPr="00063BBF">
        <w:rPr>
          <w:color w:val="000000"/>
          <w:u w:color="000000"/>
        </w:rPr>
        <w:tab/>
      </w:r>
      <w:r w:rsidR="00171071">
        <w:rPr>
          <w:color w:val="000000"/>
          <w:u w:color="000000"/>
        </w:rPr>
        <w:fldChar w:fldCharType="begin"/>
      </w:r>
      <w:r w:rsidR="00171071">
        <w:instrText xml:space="preserve"> TA \l "</w:instrText>
      </w:r>
      <w:r w:rsidR="00171071" w:rsidRPr="00171071">
        <w:rPr>
          <w:color w:val="000000"/>
          <w:u w:color="000000"/>
        </w:rPr>
        <w:instrText>MCL 769.34(3)</w:instrText>
      </w:r>
      <w:r w:rsidR="00171071">
        <w:instrText xml:space="preserve">" \s "WSFTA_ab810ea279ff45f7accb8c11d2c84745" \c 6 </w:instrText>
      </w:r>
      <w:r w:rsidR="00171071">
        <w:rPr>
          <w:color w:val="000000"/>
          <w:u w:color="000000"/>
        </w:rPr>
        <w:fldChar w:fldCharType="end"/>
      </w:r>
      <w:r w:rsidR="00BE04BA" w:rsidRPr="00063BBF">
        <w:rPr>
          <w:color w:val="000000"/>
          <w:u w:color="000000"/>
        </w:rPr>
        <w:t>MCL 769</w:t>
      </w:r>
      <w:r w:rsidRPr="00063BBF">
        <w:rPr>
          <w:color w:val="000000"/>
          <w:u w:color="000000"/>
        </w:rPr>
        <w:t>.34(3) subsections (a) and (b) state the following:</w:t>
      </w:r>
    </w:p>
    <w:p w:rsidR="003E3A26" w:rsidRPr="00063BBF" w:rsidRDefault="003E3A26" w:rsidP="003E3A26">
      <w:pPr>
        <w:pStyle w:val="BlockQuote"/>
        <w:rPr>
          <w:color w:val="000000"/>
          <w:u w:color="000000"/>
        </w:rPr>
      </w:pPr>
      <w:r w:rsidRPr="00063BBF">
        <w:rPr>
          <w:color w:val="000000"/>
          <w:u w:color="000000"/>
        </w:rPr>
        <w:t>(3) A court may depart from the appropriate sentence range established under the sentencing guidelines set forth in chapter XVII if the court has a substantial and compelling reason for that departure and states on the record the reasons for departure. All of the following apply to a departure:</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 xml:space="preserve">(a) The court shall not use an individual's gender, race, ethnicity, alienage, national origin, legal occupation, lack of employment, representation by appointed legal counsel, representation by retained legal counsel, appearance in </w:t>
      </w:r>
      <w:proofErr w:type="spellStart"/>
      <w:r w:rsidRPr="00063BBF">
        <w:rPr>
          <w:color w:val="000000"/>
          <w:u w:color="000000"/>
        </w:rPr>
        <w:t>propria</w:t>
      </w:r>
      <w:proofErr w:type="spellEnd"/>
      <w:r w:rsidRPr="00063BBF">
        <w:rPr>
          <w:color w:val="000000"/>
          <w:u w:color="000000"/>
        </w:rPr>
        <w:t xml:space="preserve"> persona, or religion to depart from the appropriate sentence range.</w:t>
      </w:r>
    </w:p>
    <w:p w:rsidR="003E3A26" w:rsidRPr="00063BBF" w:rsidRDefault="003E3A26" w:rsidP="003E3A26">
      <w:pPr>
        <w:pStyle w:val="BlockQuote"/>
        <w:rPr>
          <w:color w:val="000000"/>
          <w:u w:color="000000"/>
        </w:rPr>
      </w:pPr>
    </w:p>
    <w:p w:rsidR="003E3A26" w:rsidRPr="00063BBF" w:rsidRDefault="003E3A26" w:rsidP="003E3A26">
      <w:pPr>
        <w:pStyle w:val="BlockQuote"/>
        <w:rPr>
          <w:color w:val="000000"/>
          <w:u w:color="000000"/>
        </w:rPr>
      </w:pPr>
      <w:r w:rsidRPr="00063BBF">
        <w:rPr>
          <w:color w:val="000000"/>
          <w:u w:color="000000"/>
        </w:rPr>
        <w:t>(b) The court shall not base a departure on an offense characteristic or offender characteristic already taken into account in determining the appropriate sentence range unless the court finds from the facts contained in the court record, including the presentence investigation report, that the characteristic has been given inadequate or disproportionate weight.</w:t>
      </w:r>
    </w:p>
    <w:p w:rsidR="003E3A26" w:rsidRPr="00063BBF" w:rsidRDefault="003E3A26" w:rsidP="003E3A26">
      <w:pPr>
        <w:pStyle w:val="BlockQuote"/>
        <w:rPr>
          <w:color w:val="000000"/>
          <w:u w:color="000000"/>
        </w:rPr>
      </w:pPr>
    </w:p>
    <w:p w:rsidR="003E3A26" w:rsidRPr="00063BBF" w:rsidRDefault="003E3A26" w:rsidP="003E3A26">
      <w:pPr>
        <w:pStyle w:val="NormalDoubleSpace"/>
        <w:rPr>
          <w:color w:val="000000"/>
          <w:u w:color="000000"/>
        </w:rPr>
      </w:pPr>
      <w:r w:rsidRPr="00063BBF">
        <w:rPr>
          <w:color w:val="000000"/>
          <w:u w:color="000000"/>
        </w:rPr>
        <w:tab/>
        <w:t xml:space="preserve">While the Supreme Court in </w:t>
      </w:r>
      <w:r w:rsidRPr="00063BBF">
        <w:rPr>
          <w:i/>
          <w:color w:val="000000"/>
          <w:u w:color="000000"/>
        </w:rPr>
        <w:t>People v Lockridge, supra</w:t>
      </w:r>
      <w:r w:rsidRPr="00063BBF">
        <w:rPr>
          <w:color w:val="000000"/>
          <w:u w:color="000000"/>
        </w:rPr>
        <w:t xml:space="preserve">, struck down as unconstitutional the provision in </w:t>
      </w:r>
      <w:r w:rsidR="00171071">
        <w:rPr>
          <w:color w:val="000000"/>
          <w:u w:color="000000"/>
        </w:rPr>
        <w:fldChar w:fldCharType="begin"/>
      </w:r>
      <w:r w:rsidR="00171071">
        <w:instrText xml:space="preserve"> TA \l "</w:instrText>
      </w:r>
      <w:r w:rsidR="00171071" w:rsidRPr="00171071">
        <w:rPr>
          <w:color w:val="000000"/>
          <w:u w:color="000000"/>
        </w:rPr>
        <w:instrText>MCL 750.34</w:instrText>
      </w:r>
      <w:r w:rsidR="00171071">
        <w:instrText xml:space="preserve">" \s "WSFTA_7b5b3a43d95049b99b9b0312bc8ee7fa" \c 6 </w:instrText>
      </w:r>
      <w:r w:rsidR="00171071">
        <w:rPr>
          <w:color w:val="000000"/>
          <w:u w:color="000000"/>
        </w:rPr>
        <w:fldChar w:fldCharType="end"/>
      </w:r>
      <w:r w:rsidR="00C851DF">
        <w:rPr>
          <w:color w:val="000000"/>
          <w:u w:color="000000"/>
        </w:rPr>
        <w:t>MCL 769</w:t>
      </w:r>
      <w:r w:rsidRPr="00063BBF">
        <w:rPr>
          <w:color w:val="000000"/>
          <w:u w:color="000000"/>
        </w:rPr>
        <w:t xml:space="preserve">.34 that requires a substantial and compelling reason to depart from the Guidelines, the Court did not strike sections 3(a) or 3(b).  The Court noted, specifically, that it was especially interested in doing “the least judicial rewriting of the statute[.]” (p. 28).  Therefore, the Court merely substituted “may” for “shall” in </w:t>
      </w:r>
      <w:r w:rsidR="00171071">
        <w:rPr>
          <w:color w:val="000000"/>
          <w:u w:color="000000"/>
        </w:rPr>
        <w:fldChar w:fldCharType="begin"/>
      </w:r>
      <w:r w:rsidR="00171071">
        <w:instrText xml:space="preserve"> TA \l "</w:instrText>
      </w:r>
      <w:r w:rsidR="00171071" w:rsidRPr="00171071">
        <w:rPr>
          <w:color w:val="000000"/>
          <w:u w:color="000000"/>
        </w:rPr>
        <w:instrText>MCL 769.34(2)</w:instrText>
      </w:r>
      <w:r w:rsidR="00171071">
        <w:instrText xml:space="preserve">" \s "WSFTA_bf9e7bf4d19442f782ad00cf6b67ac99" \c 6 </w:instrText>
      </w:r>
      <w:r w:rsidR="00171071">
        <w:rPr>
          <w:color w:val="000000"/>
          <w:u w:color="000000"/>
        </w:rPr>
        <w:fldChar w:fldCharType="end"/>
      </w:r>
      <w:r w:rsidRPr="00063BBF">
        <w:rPr>
          <w:color w:val="000000"/>
          <w:u w:color="000000"/>
        </w:rPr>
        <w:t xml:space="preserve">MCL 769.34(2) and removed the </w:t>
      </w:r>
      <w:r w:rsidRPr="00063BBF">
        <w:rPr>
          <w:color w:val="000000"/>
          <w:u w:color="000000"/>
        </w:rPr>
        <w:lastRenderedPageBreak/>
        <w:t xml:space="preserve">requirement in </w:t>
      </w:r>
      <w:r w:rsidR="00171071">
        <w:rPr>
          <w:color w:val="000000"/>
          <w:u w:color="000000"/>
        </w:rPr>
        <w:fldChar w:fldCharType="begin"/>
      </w:r>
      <w:r w:rsidR="00171071">
        <w:instrText xml:space="preserve"> TA \l "" \s "WSFTA_ab810ea279ff45f7accb8c11d2c84745" \c 6 </w:instrText>
      </w:r>
      <w:r w:rsidR="00171071">
        <w:rPr>
          <w:color w:val="000000"/>
          <w:u w:color="000000"/>
        </w:rPr>
        <w:fldChar w:fldCharType="end"/>
      </w:r>
      <w:r w:rsidRPr="00063BBF">
        <w:rPr>
          <w:color w:val="000000"/>
          <w:u w:color="000000"/>
        </w:rPr>
        <w:t xml:space="preserve">MCL 769.34(3) that a trial court must state a substantial and compelling reason for departure.  The Court did not disturb the intent of Legislature to prevent use of improper ethnic and similar considerations, or to prevent double-counting by using reasons already calculated in the guidelines range to justify a departure.  </w:t>
      </w:r>
    </w:p>
    <w:p w:rsidR="003E3A26" w:rsidRPr="00063BBF" w:rsidRDefault="003E3A26" w:rsidP="003E3A26">
      <w:pPr>
        <w:pStyle w:val="NormalDoubleSpace"/>
        <w:rPr>
          <w:color w:val="000000"/>
          <w:u w:color="000000"/>
        </w:rPr>
      </w:pPr>
      <w:r w:rsidRPr="00063BBF">
        <w:rPr>
          <w:color w:val="000000"/>
          <w:u w:color="000000"/>
        </w:rPr>
        <w:tab/>
        <w:t xml:space="preserve">Furthermore, the Supreme Court held that the sentencing guidelines remain a “highly relevant consideration in a trial court’s exercise of sentencing discretion,” and, therefore, held that trial courts “’must consult those Guidelines and take them into account when sentencing.’” (Quoting </w:t>
      </w:r>
      <w:r w:rsidR="00171071">
        <w:rPr>
          <w:color w:val="000000"/>
          <w:u w:color="000000"/>
        </w:rPr>
        <w:fldChar w:fldCharType="begin"/>
      </w:r>
      <w:r w:rsidR="00171071">
        <w:instrText xml:space="preserve"> TA \l "" \s "WSFTA_eda3bf54c6e541c08f5427d622f5d271" \c 3 </w:instrText>
      </w:r>
      <w:r w:rsidR="00171071">
        <w:rPr>
          <w:color w:val="000000"/>
          <w:u w:color="000000"/>
        </w:rPr>
        <w:fldChar w:fldCharType="end"/>
      </w:r>
      <w:r w:rsidRPr="00063BBF">
        <w:rPr>
          <w:i/>
          <w:color w:val="000000"/>
          <w:u w:color="000000"/>
        </w:rPr>
        <w:t>Booker</w:t>
      </w:r>
      <w:r w:rsidRPr="00063BBF">
        <w:rPr>
          <w:color w:val="000000"/>
          <w:u w:color="000000"/>
        </w:rPr>
        <w:t xml:space="preserve">, 543 US at 264.)  The Court in </w:t>
      </w:r>
      <w:r w:rsidRPr="00063BBF">
        <w:rPr>
          <w:i/>
          <w:color w:val="000000"/>
          <w:u w:color="000000"/>
        </w:rPr>
        <w:t>Lockridge</w:t>
      </w:r>
      <w:r w:rsidRPr="00063BBF">
        <w:rPr>
          <w:color w:val="000000"/>
          <w:u w:color="000000"/>
        </w:rPr>
        <w:t xml:space="preserve"> emphasized that the goal of the sentencing guidelines, both in Michigan and in the federal courts, is to eliminate disparity in sentencing.  Holding that trial courts must consult the Guidelines, the Court said:</w:t>
      </w:r>
    </w:p>
    <w:p w:rsidR="003E3A26" w:rsidRPr="00063BBF" w:rsidRDefault="003E3A26" w:rsidP="003E3A26">
      <w:pPr>
        <w:pStyle w:val="BlockQuote"/>
        <w:rPr>
          <w:color w:val="000000"/>
          <w:u w:color="000000"/>
        </w:rPr>
      </w:pPr>
      <w:r w:rsidRPr="00063BBF">
        <w:rPr>
          <w:color w:val="000000"/>
          <w:u w:color="000000"/>
        </w:rPr>
        <w:t xml:space="preserve">Such a system, while ‘not the system [the legislature] enacted, nonetheless continue[s] to move sentencing in [the legislature’s] preferred direction, </w:t>
      </w:r>
      <w:r w:rsidRPr="00063BBF">
        <w:rPr>
          <w:i/>
          <w:color w:val="000000"/>
          <w:u w:color="000000"/>
        </w:rPr>
        <w:t>helping to avoid excessive sentencing disparities</w:t>
      </w:r>
      <w:r w:rsidRPr="00063BBF">
        <w:rPr>
          <w:color w:val="000000"/>
          <w:u w:color="000000"/>
        </w:rPr>
        <w:t xml:space="preserve"> while maintaining flexibility sufficient to individualize sentences where necessary.’” </w:t>
      </w:r>
      <w:r w:rsidRPr="00063BBF">
        <w:rPr>
          <w:i/>
          <w:color w:val="000000"/>
          <w:u w:color="000000"/>
        </w:rPr>
        <w:t>Lockridge</w:t>
      </w:r>
      <w:r w:rsidRPr="00063BBF">
        <w:rPr>
          <w:color w:val="000000"/>
          <w:u w:color="000000"/>
        </w:rPr>
        <w:t xml:space="preserve">, p. 29 (quoting </w:t>
      </w:r>
      <w:r w:rsidR="00171071">
        <w:rPr>
          <w:color w:val="000000"/>
          <w:u w:color="000000"/>
        </w:rPr>
        <w:fldChar w:fldCharType="begin"/>
      </w:r>
      <w:r w:rsidR="00171071">
        <w:instrText xml:space="preserve"> TA \l "" \s "WSFTA_eda3bf54c6e541c08f5427d622f5d271" \c 3 </w:instrText>
      </w:r>
      <w:r w:rsidR="00171071">
        <w:rPr>
          <w:color w:val="000000"/>
          <w:u w:color="000000"/>
        </w:rPr>
        <w:fldChar w:fldCharType="end"/>
      </w:r>
      <w:r w:rsidRPr="00063BBF">
        <w:rPr>
          <w:i/>
          <w:color w:val="000000"/>
          <w:u w:color="000000"/>
        </w:rPr>
        <w:t>Booker, supra</w:t>
      </w:r>
      <w:r w:rsidRPr="00063BBF">
        <w:rPr>
          <w:color w:val="000000"/>
          <w:u w:color="000000"/>
        </w:rPr>
        <w:t xml:space="preserve"> at 264-265) (emphasis added).</w:t>
      </w:r>
    </w:p>
    <w:p w:rsidR="003E3A26" w:rsidRPr="00063BBF" w:rsidRDefault="003E3A26" w:rsidP="003E3A26">
      <w:pPr>
        <w:pStyle w:val="BlockQuote"/>
        <w:rPr>
          <w:color w:val="000000"/>
          <w:u w:color="000000"/>
        </w:rPr>
      </w:pPr>
    </w:p>
    <w:p w:rsidR="003E3A26" w:rsidRPr="00063BBF" w:rsidRDefault="003E3A26" w:rsidP="003E3A26">
      <w:pPr>
        <w:pStyle w:val="NormalDoubleSpace"/>
        <w:ind w:firstLine="720"/>
        <w:rPr>
          <w:color w:val="000000"/>
          <w:u w:color="000000"/>
        </w:rPr>
      </w:pPr>
      <w:r w:rsidRPr="00063BBF">
        <w:rPr>
          <w:color w:val="000000"/>
          <w:u w:color="000000"/>
        </w:rPr>
        <w:t>Sections 34</w:t>
      </w:r>
      <w:r w:rsidR="00C851DF">
        <w:rPr>
          <w:color w:val="000000"/>
          <w:u w:color="000000"/>
        </w:rPr>
        <w:t>(3)</w:t>
      </w:r>
      <w:r w:rsidRPr="00063BBF">
        <w:rPr>
          <w:color w:val="000000"/>
          <w:u w:color="000000"/>
        </w:rPr>
        <w:t>(a) and (b) are important tools for preventing sentencing disparities.  For example, if a trial court is allowed to depart upward for reasons already taken into account in the sentencing variables, the resulting sentence is going to be higher than that for a similarly situated defendant.  On the other hand, if the Guidelines gave a certain factor inadequate weight, the trial court is free to base a departure on that factor.  The statute [</w:t>
      </w:r>
      <w:r w:rsidR="00171071">
        <w:rPr>
          <w:color w:val="000000"/>
          <w:u w:color="000000"/>
        </w:rPr>
        <w:fldChar w:fldCharType="begin"/>
      </w:r>
      <w:r w:rsidR="00171071">
        <w:instrText xml:space="preserve"> TA \l "" \s "WSFTA_73d07f1cdb83421abec6b7a8e891d9c2" \c 6 </w:instrText>
      </w:r>
      <w:r w:rsidR="00171071">
        <w:rPr>
          <w:color w:val="000000"/>
          <w:u w:color="000000"/>
        </w:rPr>
        <w:fldChar w:fldCharType="end"/>
      </w:r>
      <w:r w:rsidRPr="00063BBF">
        <w:rPr>
          <w:color w:val="000000"/>
          <w:u w:color="000000"/>
        </w:rPr>
        <w:t xml:space="preserve">MCL 769.34(3)(b)] therefore has trial court discretion built into it, and it remains valid after </w:t>
      </w:r>
      <w:r w:rsidRPr="00063BBF">
        <w:rPr>
          <w:i/>
          <w:color w:val="000000"/>
          <w:u w:color="000000"/>
        </w:rPr>
        <w:t>Lockridge</w:t>
      </w:r>
      <w:r w:rsidRPr="00063BBF">
        <w:rPr>
          <w:color w:val="000000"/>
          <w:u w:color="000000"/>
        </w:rPr>
        <w:t>.</w:t>
      </w:r>
    </w:p>
    <w:p w:rsidR="003E3A26" w:rsidRPr="00063BBF" w:rsidRDefault="003E3A26" w:rsidP="003E3A26">
      <w:pPr>
        <w:pStyle w:val="NormalDoubleSpace"/>
        <w:ind w:firstLine="720"/>
        <w:rPr>
          <w:color w:val="000000"/>
          <w:u w:color="000000"/>
        </w:rPr>
      </w:pPr>
    </w:p>
    <w:p w:rsidR="003E3A26" w:rsidRDefault="003E3A26" w:rsidP="003E3A26">
      <w:pPr>
        <w:pStyle w:val="NormalDoubleSpace"/>
        <w:rPr>
          <w:color w:val="000000"/>
          <w:u w:color="000000"/>
        </w:rPr>
      </w:pPr>
    </w:p>
    <w:p w:rsidR="001A5B78" w:rsidRDefault="001A5B78">
      <w:pPr>
        <w:rPr>
          <w:color w:val="000000"/>
          <w:u w:color="000000"/>
        </w:rPr>
      </w:pPr>
      <w:r>
        <w:rPr>
          <w:color w:val="000000"/>
          <w:u w:color="000000"/>
        </w:rPr>
        <w:br w:type="page"/>
      </w:r>
    </w:p>
    <w:p w:rsidR="001A5B78" w:rsidRDefault="001A5B78">
      <w:pPr>
        <w:pStyle w:val="Heading1"/>
      </w:pPr>
      <w:bookmarkStart w:id="23" w:name="SRR"/>
      <w:bookmarkStart w:id="24" w:name="_Toc443797460"/>
      <w:bookmarkStart w:id="25" w:name="_Toc443798004"/>
      <w:bookmarkStart w:id="26" w:name="_Toc443884031"/>
      <w:bookmarkStart w:id="27" w:name="_Toc444311777"/>
      <w:bookmarkStart w:id="28" w:name="_Toc444312501"/>
      <w:bookmarkStart w:id="29" w:name="_Toc444329897"/>
      <w:bookmarkStart w:id="30" w:name="_Toc444331713"/>
      <w:bookmarkStart w:id="31" w:name="_Toc444332988"/>
      <w:bookmarkStart w:id="32" w:name="_Toc444397968"/>
      <w:bookmarkStart w:id="33" w:name="_Toc444398011"/>
      <w:bookmarkStart w:id="34" w:name="_Toc444481918"/>
      <w:bookmarkStart w:id="35" w:name="_Toc444575866"/>
      <w:bookmarkStart w:id="36" w:name="_Toc428780925"/>
      <w:bookmarkEnd w:id="23"/>
      <w:r>
        <w:lastRenderedPageBreak/>
        <w:t>SUMMARY AND RELIEF REQUEST</w:t>
      </w:r>
      <w:r w:rsidR="001A2669">
        <w:t>ED</w:t>
      </w:r>
      <w:r>
        <w:t xml:space="preserve"> </w:t>
      </w:r>
      <w:bookmarkEnd w:id="24"/>
      <w:bookmarkEnd w:id="25"/>
      <w:bookmarkEnd w:id="26"/>
      <w:bookmarkEnd w:id="27"/>
      <w:bookmarkEnd w:id="28"/>
      <w:bookmarkEnd w:id="29"/>
      <w:bookmarkEnd w:id="30"/>
      <w:bookmarkEnd w:id="31"/>
      <w:bookmarkEnd w:id="32"/>
      <w:bookmarkEnd w:id="33"/>
      <w:bookmarkEnd w:id="34"/>
      <w:bookmarkEnd w:id="35"/>
      <w:bookmarkEnd w:id="36"/>
    </w:p>
    <w:p w:rsidR="001A5B78" w:rsidRDefault="001A5B78"/>
    <w:p w:rsidR="001A5B78" w:rsidRDefault="001A5B78" w:rsidP="00B12FA4">
      <w:pPr>
        <w:pStyle w:val="NormalDoubleSpace"/>
      </w:pPr>
      <w:r>
        <w:rPr>
          <w:b/>
        </w:rPr>
        <w:tab/>
        <w:t>WHEREFORE</w:t>
      </w:r>
      <w:r>
        <w:t xml:space="preserve">, for the foregoing reasons, Defendant-Appellant asks that this </w:t>
      </w:r>
    </w:p>
    <w:p w:rsidR="001A5B78" w:rsidRDefault="001A5B78" w:rsidP="00B12FA4">
      <w:pPr>
        <w:pStyle w:val="NormalDoubleSpace"/>
        <w:rPr>
          <w:spacing w:val="-3"/>
        </w:rPr>
      </w:pPr>
      <w:r>
        <w:rPr>
          <w:spacing w:val="-3"/>
        </w:rPr>
        <w:t xml:space="preserve">Honorable Court </w:t>
      </w:r>
      <w:r w:rsidR="001A2669">
        <w:rPr>
          <w:spacing w:val="-3"/>
        </w:rPr>
        <w:t>find his sentence unreasonably excessive and remand for resentencing</w:t>
      </w:r>
      <w:r>
        <w:rPr>
          <w:spacing w:val="-3"/>
        </w:rPr>
        <w:t>.</w:t>
      </w:r>
    </w:p>
    <w:p w:rsidR="001A5B78" w:rsidRDefault="001A5B78">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t>Respectfully submitted,</w:t>
      </w:r>
    </w:p>
    <w:p w:rsidR="001A5B78" w:rsidRDefault="001A5B78">
      <w:pPr>
        <w:tabs>
          <w:tab w:val="left" w:pos="-1440"/>
          <w:tab w:val="left" w:pos="-720"/>
        </w:tabs>
        <w:suppressAutoHyphens/>
        <w:jc w:val="both"/>
        <w:rPr>
          <w:spacing w:val="-3"/>
        </w:rPr>
      </w:pPr>
    </w:p>
    <w:p w:rsidR="001A5B78" w:rsidRDefault="001A5B78">
      <w:pPr>
        <w:tabs>
          <w:tab w:val="left" w:pos="-1440"/>
          <w:tab w:val="left" w:pos="-720"/>
        </w:tabs>
        <w:suppressAutoHyphens/>
        <w:jc w:val="both"/>
        <w:rPr>
          <w:spacing w:val="-3"/>
        </w:rPr>
      </w:pPr>
      <w:r>
        <w:rPr>
          <w:b/>
          <w:spacing w:val="-3"/>
        </w:rPr>
        <w:tab/>
      </w:r>
      <w:r>
        <w:rPr>
          <w:b/>
          <w:spacing w:val="-3"/>
        </w:rPr>
        <w:tab/>
      </w:r>
      <w:r>
        <w:rPr>
          <w:b/>
          <w:spacing w:val="-3"/>
        </w:rPr>
        <w:tab/>
      </w:r>
      <w:r>
        <w:rPr>
          <w:b/>
          <w:spacing w:val="-3"/>
        </w:rPr>
        <w:tab/>
      </w:r>
      <w:r>
        <w:rPr>
          <w:b/>
          <w:spacing w:val="-3"/>
        </w:rPr>
        <w:tab/>
        <w:t>STATE APPELLATE DEFENDER OFFICE</w:t>
      </w:r>
    </w:p>
    <w:p w:rsidR="001A5B78" w:rsidRDefault="001A5B78">
      <w:pPr>
        <w:tabs>
          <w:tab w:val="left" w:pos="-1440"/>
          <w:tab w:val="left" w:pos="-720"/>
        </w:tabs>
        <w:suppressAutoHyphens/>
        <w:jc w:val="both"/>
        <w:rPr>
          <w:spacing w:val="-3"/>
        </w:rPr>
      </w:pPr>
    </w:p>
    <w:p w:rsidR="001A5B78" w:rsidRDefault="001A5B78">
      <w:pPr>
        <w:tabs>
          <w:tab w:val="left" w:pos="-1440"/>
          <w:tab w:val="left" w:pos="-720"/>
        </w:tabs>
        <w:suppressAutoHyphens/>
        <w:jc w:val="both"/>
        <w:rPr>
          <w:spacing w:val="-3"/>
        </w:rPr>
      </w:pPr>
    </w:p>
    <w:p w:rsidR="001A5B78" w:rsidRDefault="001A5B78">
      <w:pPr>
        <w:tabs>
          <w:tab w:val="left" w:pos="-1440"/>
          <w:tab w:val="left" w:pos="-720"/>
        </w:tabs>
        <w:suppressAutoHyphens/>
        <w:jc w:val="both"/>
        <w:rPr>
          <w:spacing w:val="-3"/>
        </w:rPr>
      </w:pPr>
    </w:p>
    <w:p w:rsidR="001A5B78" w:rsidRPr="00AA06FA" w:rsidRDefault="001A5B78">
      <w:pPr>
        <w:tabs>
          <w:tab w:val="left" w:pos="-1440"/>
          <w:tab w:val="left" w:pos="-720"/>
        </w:tabs>
        <w:suppressAutoHyphens/>
        <w:jc w:val="both"/>
        <w:rPr>
          <w:spacing w:val="-3"/>
          <w:sz w:val="28"/>
          <w:szCs w:val="28"/>
        </w:rPr>
      </w:pPr>
      <w:r>
        <w:rPr>
          <w:spacing w:val="-3"/>
        </w:rPr>
        <w:tab/>
      </w:r>
      <w:r>
        <w:rPr>
          <w:spacing w:val="-3"/>
        </w:rPr>
        <w:tab/>
      </w:r>
      <w:r>
        <w:rPr>
          <w:spacing w:val="-3"/>
        </w:rPr>
        <w:tab/>
      </w:r>
      <w:r>
        <w:rPr>
          <w:spacing w:val="-3"/>
        </w:rPr>
        <w:tab/>
      </w:r>
      <w:r>
        <w:rPr>
          <w:spacing w:val="-3"/>
        </w:rPr>
        <w:tab/>
      </w:r>
      <w:r>
        <w:rPr>
          <w:spacing w:val="-3"/>
        </w:rPr>
        <w:tab/>
      </w:r>
      <w:r w:rsidRPr="00AA06FA">
        <w:rPr>
          <w:spacing w:val="-3"/>
          <w:sz w:val="28"/>
          <w:szCs w:val="28"/>
        </w:rPr>
        <w:t xml:space="preserve">/s/ </w:t>
      </w:r>
      <w:r w:rsidRPr="00AA06FA">
        <w:rPr>
          <w:spacing w:val="-3"/>
          <w:sz w:val="28"/>
          <w:szCs w:val="28"/>
        </w:rPr>
        <w:fldChar w:fldCharType="begin">
          <w:ffData>
            <w:name w:val="Attorney_Name_Lower"/>
            <w:enabled/>
            <w:calcOnExit w:val="0"/>
            <w:textInput/>
          </w:ffData>
        </w:fldChar>
      </w:r>
      <w:bookmarkStart w:id="37" w:name="Attorney_Name_Lower"/>
      <w:r w:rsidRPr="00AA06FA">
        <w:rPr>
          <w:spacing w:val="-3"/>
          <w:sz w:val="28"/>
          <w:szCs w:val="28"/>
        </w:rPr>
        <w:instrText xml:space="preserve"> FORMTEXT </w:instrText>
      </w:r>
      <w:r w:rsidRPr="00AA06FA">
        <w:rPr>
          <w:spacing w:val="-3"/>
          <w:sz w:val="28"/>
          <w:szCs w:val="28"/>
        </w:rPr>
      </w:r>
      <w:r w:rsidRPr="00AA06FA">
        <w:rPr>
          <w:spacing w:val="-3"/>
          <w:sz w:val="28"/>
          <w:szCs w:val="28"/>
        </w:rPr>
        <w:fldChar w:fldCharType="separate"/>
      </w:r>
      <w:r w:rsidR="001A2669">
        <w:rPr>
          <w:spacing w:val="-3"/>
          <w:sz w:val="28"/>
          <w:szCs w:val="28"/>
        </w:rPr>
        <w:t>Chari K. Grove</w:t>
      </w:r>
      <w:r w:rsidRPr="00AA06FA">
        <w:rPr>
          <w:spacing w:val="-3"/>
          <w:sz w:val="28"/>
          <w:szCs w:val="28"/>
        </w:rPr>
        <w:fldChar w:fldCharType="end"/>
      </w:r>
      <w:bookmarkEnd w:id="37"/>
    </w:p>
    <w:p w:rsidR="001A5B78" w:rsidRDefault="001A5B78">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t>BY:________________________________________</w:t>
      </w:r>
    </w:p>
    <w:p w:rsidR="001A5B78" w:rsidRDefault="001A5B78">
      <w:pPr>
        <w:tabs>
          <w:tab w:val="left" w:pos="-1440"/>
          <w:tab w:val="left" w:pos="-720"/>
        </w:tabs>
        <w:suppressAutoHyphens/>
        <w:jc w:val="both"/>
        <w:rPr>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fldChar w:fldCharType="begin">
          <w:ffData>
            <w:name w:val="ATTORNEY_NAME_UPPER"/>
            <w:enabled/>
            <w:calcOnExit w:val="0"/>
            <w:textInput/>
          </w:ffData>
        </w:fldChar>
      </w:r>
      <w:bookmarkStart w:id="38" w:name="ATTORNEY_NAME_UPPER"/>
      <w:r>
        <w:rPr>
          <w:b/>
          <w:spacing w:val="-3"/>
        </w:rPr>
        <w:instrText xml:space="preserve"> FORMTEXT </w:instrText>
      </w:r>
      <w:r>
        <w:rPr>
          <w:b/>
          <w:spacing w:val="-3"/>
        </w:rPr>
      </w:r>
      <w:r>
        <w:rPr>
          <w:b/>
          <w:spacing w:val="-3"/>
        </w:rPr>
        <w:fldChar w:fldCharType="separate"/>
      </w:r>
      <w:r w:rsidR="001A2669">
        <w:rPr>
          <w:b/>
          <w:spacing w:val="-3"/>
        </w:rPr>
        <w:t>CHARI K. GROVE</w:t>
      </w:r>
      <w:r>
        <w:rPr>
          <w:b/>
          <w:spacing w:val="-3"/>
        </w:rPr>
        <w:fldChar w:fldCharType="end"/>
      </w:r>
      <w:bookmarkEnd w:id="38"/>
      <w:r>
        <w:rPr>
          <w:b/>
          <w:spacing w:val="-3"/>
        </w:rPr>
        <w:t xml:space="preserve"> </w:t>
      </w:r>
      <w:r>
        <w:rPr>
          <w:b/>
          <w:spacing w:val="-3"/>
        </w:rPr>
        <w:fldChar w:fldCharType="begin">
          <w:ffData>
            <w:name w:val="SATY_P_No"/>
            <w:enabled/>
            <w:calcOnExit w:val="0"/>
            <w:textInput/>
          </w:ffData>
        </w:fldChar>
      </w:r>
      <w:bookmarkStart w:id="39" w:name="SATY_P_No"/>
      <w:r>
        <w:rPr>
          <w:b/>
          <w:spacing w:val="-3"/>
        </w:rPr>
        <w:instrText xml:space="preserve"> FORMTEXT </w:instrText>
      </w:r>
      <w:r>
        <w:rPr>
          <w:b/>
          <w:spacing w:val="-3"/>
        </w:rPr>
      </w:r>
      <w:r>
        <w:rPr>
          <w:b/>
          <w:spacing w:val="-3"/>
        </w:rPr>
        <w:fldChar w:fldCharType="separate"/>
      </w:r>
      <w:r w:rsidR="001A2669">
        <w:rPr>
          <w:b/>
          <w:spacing w:val="-3"/>
        </w:rPr>
        <w:t>(P25812)</w:t>
      </w:r>
      <w:r>
        <w:rPr>
          <w:b/>
          <w:spacing w:val="-3"/>
        </w:rPr>
        <w:fldChar w:fldCharType="end"/>
      </w:r>
      <w:bookmarkEnd w:id="39"/>
    </w:p>
    <w:p w:rsidR="001A5B78" w:rsidRDefault="001A5B78">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Assistant Defender</w:t>
      </w:r>
    </w:p>
    <w:p w:rsidR="001A5B78" w:rsidRDefault="001A5B78">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 xml:space="preserve">3300 </w:t>
      </w:r>
      <w:smartTag w:uri="urn:schemas-microsoft-com:office:smarttags" w:element="place">
        <w:smartTag w:uri="urn:schemas-microsoft-com:office:smarttags" w:element="PlaceName">
          <w:r>
            <w:rPr>
              <w:spacing w:val="-3"/>
            </w:rPr>
            <w:t>Penobscot</w:t>
          </w:r>
        </w:smartTag>
        <w:r>
          <w:rPr>
            <w:spacing w:val="-3"/>
          </w:rPr>
          <w:t xml:space="preserve"> </w:t>
        </w:r>
        <w:smartTag w:uri="urn:schemas-microsoft-com:office:smarttags" w:element="PlaceType">
          <w:r>
            <w:rPr>
              <w:spacing w:val="-3"/>
            </w:rPr>
            <w:t>Building</w:t>
          </w:r>
        </w:smartTag>
      </w:smartTag>
    </w:p>
    <w:p w:rsidR="001A5B78" w:rsidRDefault="001A5B78">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645 Griswold</w:t>
      </w:r>
    </w:p>
    <w:p w:rsidR="001A5B78" w:rsidRDefault="001A5B78">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smartTag w:uri="urn:schemas-microsoft-com:office:smarttags" w:element="place">
        <w:smartTag w:uri="urn:schemas-microsoft-com:office:smarttags" w:element="City">
          <w:r>
            <w:rPr>
              <w:spacing w:val="-3"/>
            </w:rPr>
            <w:t>Detroit</w:t>
          </w:r>
        </w:smartTag>
        <w:r>
          <w:rPr>
            <w:spacing w:val="-3"/>
          </w:rPr>
          <w:t xml:space="preserve">, </w:t>
        </w:r>
        <w:smartTag w:uri="urn:schemas-microsoft-com:office:smarttags" w:element="State">
          <w:r>
            <w:rPr>
              <w:spacing w:val="-3"/>
            </w:rPr>
            <w:t>Michigan</w:t>
          </w:r>
        </w:smartTag>
        <w:r>
          <w:rPr>
            <w:spacing w:val="-3"/>
          </w:rPr>
          <w:t xml:space="preserve">  </w:t>
        </w:r>
        <w:smartTag w:uri="urn:schemas-microsoft-com:office:smarttags" w:element="PostalCode">
          <w:r>
            <w:rPr>
              <w:spacing w:val="-3"/>
            </w:rPr>
            <w:t>48226</w:t>
          </w:r>
        </w:smartTag>
      </w:smartTag>
    </w:p>
    <w:p w:rsidR="001A5B78" w:rsidRDefault="001A5B78">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(313) 256-9833</w:t>
      </w:r>
    </w:p>
    <w:p w:rsidR="001A5B78" w:rsidRDefault="001A5B78">
      <w:pPr>
        <w:tabs>
          <w:tab w:val="left" w:pos="-1440"/>
          <w:tab w:val="left" w:pos="-720"/>
        </w:tabs>
        <w:suppressAutoHyphens/>
        <w:jc w:val="both"/>
        <w:rPr>
          <w:spacing w:val="-3"/>
        </w:rPr>
      </w:pPr>
    </w:p>
    <w:p w:rsidR="001A5B78" w:rsidRDefault="001A5B78">
      <w:pPr>
        <w:tabs>
          <w:tab w:val="left" w:pos="-1440"/>
          <w:tab w:val="left" w:pos="-720"/>
        </w:tabs>
        <w:suppressAutoHyphens/>
        <w:jc w:val="both"/>
        <w:rPr>
          <w:spacing w:val="-3"/>
        </w:rPr>
      </w:pPr>
    </w:p>
    <w:p w:rsidR="001A5B78" w:rsidRDefault="001A5B78">
      <w:pPr>
        <w:tabs>
          <w:tab w:val="left" w:pos="-1440"/>
          <w:tab w:val="left" w:pos="-720"/>
        </w:tabs>
        <w:suppressAutoHyphens/>
        <w:jc w:val="both"/>
        <w:rPr>
          <w:spacing w:val="-3"/>
        </w:rPr>
      </w:pPr>
      <w:r>
        <w:rPr>
          <w:spacing w:val="-3"/>
        </w:rPr>
        <w:t xml:space="preserve">Dated:  </w:t>
      </w:r>
      <w:r>
        <w:rPr>
          <w:spacing w:val="-3"/>
        </w:rPr>
        <w:fldChar w:fldCharType="begin">
          <w:ffData>
            <w:name w:val="Date_for_Pleading"/>
            <w:enabled/>
            <w:calcOnExit w:val="0"/>
            <w:textInput/>
          </w:ffData>
        </w:fldChar>
      </w:r>
      <w:r>
        <w:rPr>
          <w:spacing w:val="-3"/>
        </w:rPr>
        <w:instrText xml:space="preserve"> FORMTEXT </w:instrText>
      </w:r>
      <w:r>
        <w:rPr>
          <w:spacing w:val="-3"/>
        </w:rPr>
      </w:r>
      <w:r>
        <w:rPr>
          <w:spacing w:val="-3"/>
        </w:rPr>
        <w:fldChar w:fldCharType="separate"/>
      </w:r>
      <w:r w:rsidR="001A2669">
        <w:rPr>
          <w:spacing w:val="-3"/>
        </w:rPr>
        <w:t>August 31, 2015</w:t>
      </w:r>
      <w:r>
        <w:rPr>
          <w:spacing w:val="-3"/>
        </w:rPr>
        <w:fldChar w:fldCharType="end"/>
      </w:r>
    </w:p>
    <w:p w:rsidR="001A5B78" w:rsidRPr="00063BBF" w:rsidRDefault="001A5B78" w:rsidP="003E3A26">
      <w:pPr>
        <w:pStyle w:val="NormalDoubleSpace"/>
        <w:rPr>
          <w:color w:val="000000"/>
          <w:u w:color="000000"/>
        </w:rPr>
      </w:pPr>
    </w:p>
    <w:sectPr w:rsidR="001A5B78" w:rsidRPr="00063BBF" w:rsidSect="001A5B7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F3" w:rsidRDefault="005054F3" w:rsidP="001A5B78">
      <w:r>
        <w:separator/>
      </w:r>
    </w:p>
  </w:endnote>
  <w:endnote w:type="continuationSeparator" w:id="0">
    <w:p w:rsidR="005054F3" w:rsidRDefault="005054F3" w:rsidP="001A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78" w:rsidRDefault="001A5B78" w:rsidP="001A5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B78" w:rsidRDefault="001A5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78" w:rsidRDefault="001A5B78" w:rsidP="001A5B7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79C3">
      <w:rPr>
        <w:rStyle w:val="PageNumber"/>
        <w:noProof/>
      </w:rPr>
      <w:t>iii</w:t>
    </w:r>
    <w:r>
      <w:rPr>
        <w:rStyle w:val="PageNumber"/>
      </w:rPr>
      <w:fldChar w:fldCharType="end"/>
    </w:r>
  </w:p>
  <w:p w:rsidR="001A5B78" w:rsidRPr="001A5B78" w:rsidRDefault="001A5B78" w:rsidP="001A5B7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78" w:rsidRDefault="001A5B78" w:rsidP="001A5B7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79C3">
      <w:rPr>
        <w:rStyle w:val="PageNumber"/>
        <w:noProof/>
      </w:rPr>
      <w:t>10</w:t>
    </w:r>
    <w:r>
      <w:rPr>
        <w:rStyle w:val="PageNumber"/>
      </w:rPr>
      <w:fldChar w:fldCharType="end"/>
    </w:r>
  </w:p>
  <w:p w:rsidR="001A5B78" w:rsidRPr="001A5B78" w:rsidRDefault="001A5B78" w:rsidP="001A5B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F3" w:rsidRDefault="005054F3" w:rsidP="001A5B78">
      <w:r>
        <w:separator/>
      </w:r>
    </w:p>
  </w:footnote>
  <w:footnote w:type="continuationSeparator" w:id="0">
    <w:p w:rsidR="005054F3" w:rsidRDefault="005054F3" w:rsidP="001A5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CB4"/>
    <w:multiLevelType w:val="multilevel"/>
    <w:tmpl w:val="F5241C8A"/>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rPr>
        <w:u w:val="none"/>
      </w:r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48F65B43"/>
    <w:multiLevelType w:val="multilevel"/>
    <w:tmpl w:val="0E74E60E"/>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4D48773C"/>
    <w:multiLevelType w:val="multilevel"/>
    <w:tmpl w:val="60B20F70"/>
    <w:lvl w:ilvl="0">
      <w:start w:val="1"/>
      <w:numFmt w:val="none"/>
      <w:lvlText w:val=""/>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54A75A8E"/>
    <w:multiLevelType w:val="singleLevel"/>
    <w:tmpl w:val="B87ACC22"/>
    <w:lvl w:ilvl="0">
      <w:start w:val="1"/>
      <w:numFmt w:val="upperRoman"/>
      <w:lvlText w:val="%1."/>
      <w:lvlJc w:val="left"/>
      <w:pPr>
        <w:tabs>
          <w:tab w:val="num" w:pos="1440"/>
        </w:tabs>
        <w:ind w:left="1440" w:hanging="720"/>
      </w:pPr>
      <w:rPr>
        <w:b/>
        <w:i w:val="0"/>
      </w:rPr>
    </w:lvl>
  </w:abstractNum>
  <w:abstractNum w:abstractNumId="4">
    <w:nsid w:val="66BC1844"/>
    <w:multiLevelType w:val="multilevel"/>
    <w:tmpl w:val="E15AB358"/>
    <w:lvl w:ilvl="0">
      <w:start w:val="1"/>
      <w:numFmt w:val="upperRoman"/>
      <w:pStyle w:val="ISSUE"/>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0"/>
  </w:num>
  <w:num w:numId="10">
    <w:abstractNumId w:val="0"/>
  </w:num>
  <w:num w:numId="11">
    <w:abstractNumId w:val="0"/>
  </w:num>
  <w:num w:numId="12">
    <w:abstractNumId w:val="0"/>
  </w:num>
  <w:num w:numId="13">
    <w:abstractNumId w:val="4"/>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MyIden" w:val="26319"/>
    <w:docVar w:name="DocMySatyEmail" w:val="Cgrove@sado.org"/>
    <w:docVar w:name="DocMySatyName" w:val="Chari K. Grove"/>
    <w:docVar w:name="DocMySatyPNumber" w:val="25812"/>
    <w:docVar w:name="DocMySatySex" w:val="2"/>
    <w:docVar w:name="DocMySatyTitle" w:val="Defender 3"/>
    <w:docVar w:name="DocMySecy" w:val=" "/>
    <w:docVar w:name="DocMystrDefault_Directory" w:val="\users\chari"/>
    <w:docVar w:name="DocPleaDate" w:val="8-31"/>
    <w:docVar w:name="DocSATY" w:val="CG"/>
    <w:docVar w:name="MyDocTitle" w:val="0"/>
    <w:docVar w:name="NotExp" w:val="0"/>
    <w:docVar w:name="SecyName" w:val="0"/>
  </w:docVars>
  <w:rsids>
    <w:rsidRoot w:val="009B5AA1"/>
    <w:rsid w:val="000033F0"/>
    <w:rsid w:val="00007ECE"/>
    <w:rsid w:val="00011F7D"/>
    <w:rsid w:val="00012C4C"/>
    <w:rsid w:val="00017B8D"/>
    <w:rsid w:val="0002624B"/>
    <w:rsid w:val="00026FD9"/>
    <w:rsid w:val="00027318"/>
    <w:rsid w:val="00061169"/>
    <w:rsid w:val="00062DC3"/>
    <w:rsid w:val="00063BBF"/>
    <w:rsid w:val="000A0C44"/>
    <w:rsid w:val="000A0E5A"/>
    <w:rsid w:val="000C3F84"/>
    <w:rsid w:val="000D2258"/>
    <w:rsid w:val="000D23E2"/>
    <w:rsid w:val="00104CE0"/>
    <w:rsid w:val="00115F43"/>
    <w:rsid w:val="001244AC"/>
    <w:rsid w:val="00125C7E"/>
    <w:rsid w:val="00132E52"/>
    <w:rsid w:val="001333EE"/>
    <w:rsid w:val="00133A6A"/>
    <w:rsid w:val="0016108A"/>
    <w:rsid w:val="00162892"/>
    <w:rsid w:val="00165364"/>
    <w:rsid w:val="00171071"/>
    <w:rsid w:val="001778B2"/>
    <w:rsid w:val="001865EB"/>
    <w:rsid w:val="001A2669"/>
    <w:rsid w:val="001A5B78"/>
    <w:rsid w:val="001B1B26"/>
    <w:rsid w:val="001B2FCA"/>
    <w:rsid w:val="001B5620"/>
    <w:rsid w:val="001D116F"/>
    <w:rsid w:val="001D56F4"/>
    <w:rsid w:val="001D5E22"/>
    <w:rsid w:val="001F3227"/>
    <w:rsid w:val="002002AD"/>
    <w:rsid w:val="00221338"/>
    <w:rsid w:val="00223D9C"/>
    <w:rsid w:val="002447A6"/>
    <w:rsid w:val="002714DD"/>
    <w:rsid w:val="00280E76"/>
    <w:rsid w:val="0029121A"/>
    <w:rsid w:val="002A2790"/>
    <w:rsid w:val="002A28B7"/>
    <w:rsid w:val="002A474E"/>
    <w:rsid w:val="002B0899"/>
    <w:rsid w:val="002E0204"/>
    <w:rsid w:val="002E3D50"/>
    <w:rsid w:val="002E7EC0"/>
    <w:rsid w:val="002F677E"/>
    <w:rsid w:val="00317D7C"/>
    <w:rsid w:val="003209F8"/>
    <w:rsid w:val="0032526D"/>
    <w:rsid w:val="00325459"/>
    <w:rsid w:val="00325A66"/>
    <w:rsid w:val="00347C8D"/>
    <w:rsid w:val="00352A7A"/>
    <w:rsid w:val="00352FF6"/>
    <w:rsid w:val="00361FF8"/>
    <w:rsid w:val="00373491"/>
    <w:rsid w:val="00390844"/>
    <w:rsid w:val="00397DB3"/>
    <w:rsid w:val="003A1D25"/>
    <w:rsid w:val="003B0FCB"/>
    <w:rsid w:val="003C3C03"/>
    <w:rsid w:val="003D1A9A"/>
    <w:rsid w:val="003D1B6F"/>
    <w:rsid w:val="003E3A26"/>
    <w:rsid w:val="003E74D6"/>
    <w:rsid w:val="004014A5"/>
    <w:rsid w:val="00405D95"/>
    <w:rsid w:val="00407955"/>
    <w:rsid w:val="004146D7"/>
    <w:rsid w:val="00414963"/>
    <w:rsid w:val="004157AB"/>
    <w:rsid w:val="00417336"/>
    <w:rsid w:val="0043657B"/>
    <w:rsid w:val="004379BB"/>
    <w:rsid w:val="004427FF"/>
    <w:rsid w:val="004438C4"/>
    <w:rsid w:val="004525D5"/>
    <w:rsid w:val="0048484B"/>
    <w:rsid w:val="00484913"/>
    <w:rsid w:val="0049385C"/>
    <w:rsid w:val="004A1086"/>
    <w:rsid w:val="004C1E4B"/>
    <w:rsid w:val="004C1FBB"/>
    <w:rsid w:val="004C4BDE"/>
    <w:rsid w:val="004C5E6A"/>
    <w:rsid w:val="004D102D"/>
    <w:rsid w:val="004D1478"/>
    <w:rsid w:val="004D7692"/>
    <w:rsid w:val="004E0890"/>
    <w:rsid w:val="004E1C86"/>
    <w:rsid w:val="004E567B"/>
    <w:rsid w:val="005054F3"/>
    <w:rsid w:val="005100DB"/>
    <w:rsid w:val="00517AF1"/>
    <w:rsid w:val="00522F4A"/>
    <w:rsid w:val="00535402"/>
    <w:rsid w:val="00543BAE"/>
    <w:rsid w:val="00550FB7"/>
    <w:rsid w:val="00575104"/>
    <w:rsid w:val="0057714E"/>
    <w:rsid w:val="00580264"/>
    <w:rsid w:val="00586256"/>
    <w:rsid w:val="00595FAC"/>
    <w:rsid w:val="005B693D"/>
    <w:rsid w:val="005D0974"/>
    <w:rsid w:val="005D5C46"/>
    <w:rsid w:val="005E23D9"/>
    <w:rsid w:val="005E6392"/>
    <w:rsid w:val="006176FA"/>
    <w:rsid w:val="00626D9D"/>
    <w:rsid w:val="00662A34"/>
    <w:rsid w:val="0066498C"/>
    <w:rsid w:val="0067160B"/>
    <w:rsid w:val="0067425B"/>
    <w:rsid w:val="006813CE"/>
    <w:rsid w:val="00697337"/>
    <w:rsid w:val="006A27BE"/>
    <w:rsid w:val="006C72DB"/>
    <w:rsid w:val="006C7657"/>
    <w:rsid w:val="006E0BA4"/>
    <w:rsid w:val="006E7DD8"/>
    <w:rsid w:val="006F0C94"/>
    <w:rsid w:val="006F3836"/>
    <w:rsid w:val="006F4672"/>
    <w:rsid w:val="00700EFE"/>
    <w:rsid w:val="00713571"/>
    <w:rsid w:val="00717FBF"/>
    <w:rsid w:val="00721331"/>
    <w:rsid w:val="007213C7"/>
    <w:rsid w:val="00742DEF"/>
    <w:rsid w:val="0074783B"/>
    <w:rsid w:val="00764F0B"/>
    <w:rsid w:val="007738B7"/>
    <w:rsid w:val="00787927"/>
    <w:rsid w:val="00793643"/>
    <w:rsid w:val="007A239A"/>
    <w:rsid w:val="007A2CF2"/>
    <w:rsid w:val="007A4B64"/>
    <w:rsid w:val="007A5CD0"/>
    <w:rsid w:val="007B72F8"/>
    <w:rsid w:val="007C171F"/>
    <w:rsid w:val="007C188B"/>
    <w:rsid w:val="007D4D57"/>
    <w:rsid w:val="007F0302"/>
    <w:rsid w:val="007F0B30"/>
    <w:rsid w:val="007F7CD2"/>
    <w:rsid w:val="00800841"/>
    <w:rsid w:val="00807AE5"/>
    <w:rsid w:val="00825AAD"/>
    <w:rsid w:val="008312E2"/>
    <w:rsid w:val="008459CC"/>
    <w:rsid w:val="00855DEE"/>
    <w:rsid w:val="00860C3A"/>
    <w:rsid w:val="008660B3"/>
    <w:rsid w:val="0087119D"/>
    <w:rsid w:val="008821C5"/>
    <w:rsid w:val="00884599"/>
    <w:rsid w:val="00886737"/>
    <w:rsid w:val="008870D1"/>
    <w:rsid w:val="00892CD0"/>
    <w:rsid w:val="00893AFA"/>
    <w:rsid w:val="008971AD"/>
    <w:rsid w:val="008A2E99"/>
    <w:rsid w:val="008A5B3C"/>
    <w:rsid w:val="008D1830"/>
    <w:rsid w:val="008D1FC2"/>
    <w:rsid w:val="008D374F"/>
    <w:rsid w:val="00921F0A"/>
    <w:rsid w:val="00933940"/>
    <w:rsid w:val="00936999"/>
    <w:rsid w:val="0094262D"/>
    <w:rsid w:val="00946573"/>
    <w:rsid w:val="009600ED"/>
    <w:rsid w:val="00974E35"/>
    <w:rsid w:val="009943E6"/>
    <w:rsid w:val="009945A5"/>
    <w:rsid w:val="009A2557"/>
    <w:rsid w:val="009B5AA1"/>
    <w:rsid w:val="009C09D5"/>
    <w:rsid w:val="009C4FA5"/>
    <w:rsid w:val="009C7491"/>
    <w:rsid w:val="009D04E9"/>
    <w:rsid w:val="009D4A1D"/>
    <w:rsid w:val="009E6DE1"/>
    <w:rsid w:val="009E78D1"/>
    <w:rsid w:val="009F5653"/>
    <w:rsid w:val="00A00715"/>
    <w:rsid w:val="00A14E2F"/>
    <w:rsid w:val="00A16B04"/>
    <w:rsid w:val="00A3715B"/>
    <w:rsid w:val="00A42ABA"/>
    <w:rsid w:val="00A43D8E"/>
    <w:rsid w:val="00A57AB3"/>
    <w:rsid w:val="00A606BA"/>
    <w:rsid w:val="00A72DC8"/>
    <w:rsid w:val="00A76BE9"/>
    <w:rsid w:val="00A87C93"/>
    <w:rsid w:val="00AA3661"/>
    <w:rsid w:val="00AB401C"/>
    <w:rsid w:val="00AC2DB0"/>
    <w:rsid w:val="00AC60A5"/>
    <w:rsid w:val="00AD55A0"/>
    <w:rsid w:val="00AE0C10"/>
    <w:rsid w:val="00B11A24"/>
    <w:rsid w:val="00B14B8A"/>
    <w:rsid w:val="00B14CCD"/>
    <w:rsid w:val="00B21803"/>
    <w:rsid w:val="00B42020"/>
    <w:rsid w:val="00B438EF"/>
    <w:rsid w:val="00B46214"/>
    <w:rsid w:val="00B56143"/>
    <w:rsid w:val="00B6574B"/>
    <w:rsid w:val="00B70BB9"/>
    <w:rsid w:val="00B74B4B"/>
    <w:rsid w:val="00B90EDB"/>
    <w:rsid w:val="00B93DC4"/>
    <w:rsid w:val="00BB0E3E"/>
    <w:rsid w:val="00BB0E3F"/>
    <w:rsid w:val="00BB1AEC"/>
    <w:rsid w:val="00BB550B"/>
    <w:rsid w:val="00BD1CCF"/>
    <w:rsid w:val="00BE04BA"/>
    <w:rsid w:val="00BE734C"/>
    <w:rsid w:val="00BF2D1F"/>
    <w:rsid w:val="00C079C3"/>
    <w:rsid w:val="00C13147"/>
    <w:rsid w:val="00C23B1A"/>
    <w:rsid w:val="00C305D1"/>
    <w:rsid w:val="00C310A7"/>
    <w:rsid w:val="00C3148A"/>
    <w:rsid w:val="00C35F83"/>
    <w:rsid w:val="00C64BF0"/>
    <w:rsid w:val="00C705AC"/>
    <w:rsid w:val="00C743D7"/>
    <w:rsid w:val="00C851DF"/>
    <w:rsid w:val="00C86A46"/>
    <w:rsid w:val="00CB1CD1"/>
    <w:rsid w:val="00CD71AF"/>
    <w:rsid w:val="00CD77EE"/>
    <w:rsid w:val="00CE4580"/>
    <w:rsid w:val="00CF5876"/>
    <w:rsid w:val="00D32839"/>
    <w:rsid w:val="00D34C6F"/>
    <w:rsid w:val="00D36ABF"/>
    <w:rsid w:val="00D3741B"/>
    <w:rsid w:val="00D4092E"/>
    <w:rsid w:val="00D55057"/>
    <w:rsid w:val="00D67040"/>
    <w:rsid w:val="00D72D7F"/>
    <w:rsid w:val="00D7337E"/>
    <w:rsid w:val="00D778A7"/>
    <w:rsid w:val="00DA61B2"/>
    <w:rsid w:val="00DE0B4B"/>
    <w:rsid w:val="00DE6AF9"/>
    <w:rsid w:val="00E056C6"/>
    <w:rsid w:val="00E05845"/>
    <w:rsid w:val="00E213B5"/>
    <w:rsid w:val="00E221FC"/>
    <w:rsid w:val="00E30E02"/>
    <w:rsid w:val="00E35241"/>
    <w:rsid w:val="00E478CA"/>
    <w:rsid w:val="00E5026B"/>
    <w:rsid w:val="00E53772"/>
    <w:rsid w:val="00E66DBB"/>
    <w:rsid w:val="00E70648"/>
    <w:rsid w:val="00E70C9F"/>
    <w:rsid w:val="00E93A4C"/>
    <w:rsid w:val="00E9707E"/>
    <w:rsid w:val="00EA4978"/>
    <w:rsid w:val="00EA7B73"/>
    <w:rsid w:val="00EC0449"/>
    <w:rsid w:val="00EC48DA"/>
    <w:rsid w:val="00EC6DCF"/>
    <w:rsid w:val="00EC7398"/>
    <w:rsid w:val="00ED4EC0"/>
    <w:rsid w:val="00EF2563"/>
    <w:rsid w:val="00EF741D"/>
    <w:rsid w:val="00F03326"/>
    <w:rsid w:val="00F14096"/>
    <w:rsid w:val="00F1767F"/>
    <w:rsid w:val="00F20343"/>
    <w:rsid w:val="00F20C1E"/>
    <w:rsid w:val="00F23F7E"/>
    <w:rsid w:val="00F264D2"/>
    <w:rsid w:val="00F35DFF"/>
    <w:rsid w:val="00F457FE"/>
    <w:rsid w:val="00F62524"/>
    <w:rsid w:val="00F6629C"/>
    <w:rsid w:val="00F75A85"/>
    <w:rsid w:val="00F8209B"/>
    <w:rsid w:val="00FA01EF"/>
    <w:rsid w:val="00FA49E2"/>
    <w:rsid w:val="00FA6944"/>
    <w:rsid w:val="00FA7ADB"/>
    <w:rsid w:val="00FC01A7"/>
    <w:rsid w:val="00FC130B"/>
    <w:rsid w:val="00FC1E02"/>
    <w:rsid w:val="00FE01F9"/>
    <w:rsid w:val="00FE568C"/>
    <w:rsid w:val="00FF639F"/>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schemas-westgroup-com/westlawcitation" w:name="typecas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able of authorities" w:uiPriority="99"/>
    <w:lsdException w:name="toa heading"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974"/>
    <w:rPr>
      <w:sz w:val="24"/>
    </w:rPr>
  </w:style>
  <w:style w:type="paragraph" w:styleId="Heading1">
    <w:name w:val="heading 1"/>
    <w:basedOn w:val="Normal"/>
    <w:next w:val="Normal"/>
    <w:qFormat/>
    <w:rsid w:val="00C305D1"/>
    <w:pPr>
      <w:keepNext/>
      <w:spacing w:after="240"/>
      <w:jc w:val="center"/>
      <w:outlineLvl w:val="0"/>
    </w:pPr>
    <w:rPr>
      <w:b/>
      <w:kern w:val="28"/>
      <w:sz w:val="28"/>
      <w:u w:val="single"/>
    </w:rPr>
  </w:style>
  <w:style w:type="paragraph" w:styleId="Heading2">
    <w:name w:val="heading 2"/>
    <w:basedOn w:val="Normal"/>
    <w:next w:val="Normal"/>
    <w:qFormat/>
    <w:rsid w:val="00C305D1"/>
    <w:pPr>
      <w:keepNext/>
      <w:spacing w:before="240" w:after="60"/>
      <w:outlineLvl w:val="1"/>
    </w:pPr>
    <w:rPr>
      <w:b/>
    </w:rPr>
  </w:style>
  <w:style w:type="paragraph" w:styleId="Heading3">
    <w:name w:val="heading 3"/>
    <w:basedOn w:val="Normal"/>
    <w:next w:val="Normal"/>
    <w:qFormat/>
    <w:rsid w:val="00C305D1"/>
    <w:pPr>
      <w:keepNext/>
      <w:spacing w:before="240" w:after="60"/>
      <w:ind w:right="1440"/>
      <w:outlineLvl w:val="2"/>
    </w:pPr>
    <w:rPr>
      <w:rFonts w:ascii="Arial" w:hAnsi="Arial"/>
    </w:rPr>
  </w:style>
  <w:style w:type="paragraph" w:styleId="Heading4">
    <w:name w:val="heading 4"/>
    <w:basedOn w:val="Normal"/>
    <w:next w:val="Normal"/>
    <w:link w:val="Heading4Char"/>
    <w:qFormat/>
    <w:rsid w:val="001A2669"/>
    <w:pPr>
      <w:keepNext/>
      <w:overflowPunct w:val="0"/>
      <w:autoSpaceDE w:val="0"/>
      <w:autoSpaceDN w:val="0"/>
      <w:adjustRightInd w:val="0"/>
      <w:jc w:val="center"/>
      <w:textAlignment w:val="baseline"/>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
    <w:name w:val="ISSUE"/>
    <w:basedOn w:val="Normal"/>
    <w:rsid w:val="00C305D1"/>
    <w:pPr>
      <w:numPr>
        <w:numId w:val="15"/>
      </w:numPr>
      <w:spacing w:after="240"/>
      <w:ind w:right="1008"/>
      <w:jc w:val="both"/>
    </w:pPr>
    <w:rPr>
      <w:b/>
      <w:caps/>
      <w:szCs w:val="24"/>
    </w:rPr>
  </w:style>
  <w:style w:type="paragraph" w:customStyle="1" w:styleId="Citation">
    <w:name w:val="Citation"/>
    <w:basedOn w:val="Normal"/>
    <w:rsid w:val="00C305D1"/>
    <w:pPr>
      <w:tabs>
        <w:tab w:val="right" w:leader="dot" w:pos="9360"/>
      </w:tabs>
      <w:ind w:left="360" w:hanging="360"/>
    </w:pPr>
  </w:style>
  <w:style w:type="paragraph" w:styleId="FootnoteText">
    <w:name w:val="footnote text"/>
    <w:basedOn w:val="Normal"/>
    <w:semiHidden/>
    <w:rsid w:val="00C305D1"/>
    <w:pPr>
      <w:keepLines/>
      <w:spacing w:line="240" w:lineRule="exact"/>
      <w:jc w:val="both"/>
    </w:pPr>
  </w:style>
  <w:style w:type="paragraph" w:styleId="TOC5">
    <w:name w:val="toc 5"/>
    <w:basedOn w:val="Normal"/>
    <w:next w:val="Normal"/>
    <w:uiPriority w:val="39"/>
    <w:rsid w:val="00C305D1"/>
    <w:pPr>
      <w:tabs>
        <w:tab w:val="left" w:pos="1440"/>
        <w:tab w:val="right" w:leader="dot" w:pos="9360"/>
      </w:tabs>
      <w:spacing w:after="240"/>
      <w:ind w:left="475" w:hanging="475"/>
    </w:pPr>
    <w:rPr>
      <w:noProof/>
    </w:rPr>
  </w:style>
  <w:style w:type="paragraph" w:styleId="TOC1">
    <w:name w:val="toc 1"/>
    <w:basedOn w:val="Normal"/>
    <w:next w:val="Normal"/>
    <w:semiHidden/>
    <w:rsid w:val="00C305D1"/>
    <w:pPr>
      <w:tabs>
        <w:tab w:val="right" w:leader="dot" w:pos="9350"/>
      </w:tabs>
      <w:spacing w:before="360"/>
    </w:pPr>
    <w:rPr>
      <w:rFonts w:ascii="Arial" w:hAnsi="Arial"/>
      <w:b/>
      <w:noProof/>
    </w:rPr>
  </w:style>
  <w:style w:type="paragraph" w:customStyle="1" w:styleId="NormalDoubleSpace">
    <w:name w:val="Normal + Double Space"/>
    <w:basedOn w:val="Normal"/>
    <w:link w:val="NormalDoubleSpaceChar"/>
    <w:qFormat/>
    <w:rsid w:val="00C305D1"/>
    <w:pPr>
      <w:spacing w:line="480" w:lineRule="auto"/>
    </w:pPr>
  </w:style>
  <w:style w:type="paragraph" w:customStyle="1" w:styleId="BlockQuote">
    <w:name w:val="Block Quote"/>
    <w:basedOn w:val="Normal"/>
    <w:rsid w:val="00C305D1"/>
    <w:pPr>
      <w:tabs>
        <w:tab w:val="left" w:pos="-1440"/>
        <w:tab w:val="left" w:pos="-720"/>
      </w:tabs>
      <w:suppressAutoHyphens/>
      <w:ind w:left="1440" w:right="1440"/>
      <w:jc w:val="both"/>
    </w:pPr>
    <w:rPr>
      <w:spacing w:val="-3"/>
    </w:rPr>
  </w:style>
  <w:style w:type="paragraph" w:styleId="TOC2">
    <w:name w:val="toc 2"/>
    <w:basedOn w:val="Normal"/>
    <w:next w:val="Normal"/>
    <w:semiHidden/>
    <w:rsid w:val="00C305D1"/>
    <w:pPr>
      <w:ind w:left="240"/>
    </w:pPr>
  </w:style>
  <w:style w:type="character" w:customStyle="1" w:styleId="NormalDoubleSpaceChar">
    <w:name w:val="Normal + Double Space Char"/>
    <w:link w:val="NormalDoubleSpace"/>
    <w:rsid w:val="003E3A26"/>
    <w:rPr>
      <w:sz w:val="24"/>
    </w:rPr>
  </w:style>
  <w:style w:type="paragraph" w:styleId="Header">
    <w:name w:val="header"/>
    <w:basedOn w:val="Normal"/>
    <w:link w:val="HeaderChar"/>
    <w:rsid w:val="001A5B78"/>
    <w:pPr>
      <w:tabs>
        <w:tab w:val="center" w:pos="4680"/>
        <w:tab w:val="right" w:pos="9360"/>
      </w:tabs>
    </w:pPr>
  </w:style>
  <w:style w:type="character" w:customStyle="1" w:styleId="HeaderChar">
    <w:name w:val="Header Char"/>
    <w:basedOn w:val="DefaultParagraphFont"/>
    <w:link w:val="Header"/>
    <w:rsid w:val="001A5B78"/>
    <w:rPr>
      <w:sz w:val="24"/>
    </w:rPr>
  </w:style>
  <w:style w:type="paragraph" w:styleId="Footer">
    <w:name w:val="footer"/>
    <w:basedOn w:val="Normal"/>
    <w:link w:val="FooterChar"/>
    <w:rsid w:val="001A5B78"/>
    <w:pPr>
      <w:tabs>
        <w:tab w:val="center" w:pos="4680"/>
        <w:tab w:val="right" w:pos="9360"/>
      </w:tabs>
    </w:pPr>
  </w:style>
  <w:style w:type="character" w:customStyle="1" w:styleId="FooterChar">
    <w:name w:val="Footer Char"/>
    <w:basedOn w:val="DefaultParagraphFont"/>
    <w:link w:val="Footer"/>
    <w:rsid w:val="001A5B78"/>
    <w:rPr>
      <w:sz w:val="24"/>
    </w:rPr>
  </w:style>
  <w:style w:type="character" w:styleId="PageNumber">
    <w:name w:val="page number"/>
    <w:basedOn w:val="DefaultParagraphFont"/>
    <w:rsid w:val="001A5B78"/>
  </w:style>
  <w:style w:type="paragraph" w:styleId="TOC3">
    <w:name w:val="toc 3"/>
    <w:basedOn w:val="Normal"/>
    <w:next w:val="Normal"/>
    <w:autoRedefine/>
    <w:rsid w:val="001A5B78"/>
    <w:pPr>
      <w:spacing w:after="100"/>
      <w:ind w:left="480"/>
    </w:pPr>
  </w:style>
  <w:style w:type="paragraph" w:styleId="TOC4">
    <w:name w:val="toc 4"/>
    <w:basedOn w:val="Normal"/>
    <w:next w:val="Normal"/>
    <w:autoRedefine/>
    <w:rsid w:val="001A5B78"/>
    <w:pPr>
      <w:spacing w:after="100"/>
      <w:ind w:left="720"/>
    </w:pPr>
  </w:style>
  <w:style w:type="paragraph" w:styleId="TOC6">
    <w:name w:val="toc 6"/>
    <w:basedOn w:val="Normal"/>
    <w:next w:val="Normal"/>
    <w:autoRedefine/>
    <w:rsid w:val="001A5B78"/>
    <w:pPr>
      <w:spacing w:after="100"/>
      <w:ind w:left="1200"/>
    </w:pPr>
  </w:style>
  <w:style w:type="paragraph" w:styleId="TOC7">
    <w:name w:val="toc 7"/>
    <w:basedOn w:val="Normal"/>
    <w:next w:val="Normal"/>
    <w:autoRedefine/>
    <w:rsid w:val="001A5B78"/>
    <w:pPr>
      <w:spacing w:after="100"/>
      <w:ind w:left="1440"/>
    </w:pPr>
  </w:style>
  <w:style w:type="paragraph" w:styleId="TOC8">
    <w:name w:val="toc 8"/>
    <w:basedOn w:val="Normal"/>
    <w:next w:val="Normal"/>
    <w:autoRedefine/>
    <w:rsid w:val="001A5B78"/>
    <w:pPr>
      <w:spacing w:after="100"/>
      <w:ind w:left="1680"/>
    </w:pPr>
  </w:style>
  <w:style w:type="paragraph" w:styleId="TOC9">
    <w:name w:val="toc 9"/>
    <w:basedOn w:val="Normal"/>
    <w:next w:val="Normal"/>
    <w:autoRedefine/>
    <w:rsid w:val="001A5B78"/>
    <w:pPr>
      <w:spacing w:after="100"/>
      <w:ind w:left="1920"/>
    </w:pPr>
  </w:style>
  <w:style w:type="paragraph" w:styleId="TOAHeading">
    <w:name w:val="toa heading"/>
    <w:basedOn w:val="Normal"/>
    <w:next w:val="Normal"/>
    <w:uiPriority w:val="99"/>
    <w:rsid w:val="00171071"/>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rsid w:val="00171071"/>
    <w:pPr>
      <w:ind w:left="240" w:hanging="240"/>
    </w:pPr>
  </w:style>
  <w:style w:type="character" w:customStyle="1" w:styleId="Heading4Char">
    <w:name w:val="Heading 4 Char"/>
    <w:basedOn w:val="DefaultParagraphFont"/>
    <w:link w:val="Heading4"/>
    <w:rsid w:val="001A2669"/>
    <w:rPr>
      <w:rFonts w:ascii="Arial" w:hAnsi="Arial" w:cs="Arial"/>
      <w:b/>
      <w:bCs/>
      <w:sz w:val="16"/>
    </w:rPr>
  </w:style>
  <w:style w:type="paragraph" w:styleId="BalloonText">
    <w:name w:val="Balloon Text"/>
    <w:basedOn w:val="Normal"/>
    <w:link w:val="BalloonTextChar"/>
    <w:rsid w:val="00EC48DA"/>
    <w:rPr>
      <w:rFonts w:ascii="Tahoma" w:hAnsi="Tahoma" w:cs="Tahoma"/>
      <w:sz w:val="16"/>
      <w:szCs w:val="16"/>
    </w:rPr>
  </w:style>
  <w:style w:type="character" w:customStyle="1" w:styleId="BalloonTextChar">
    <w:name w:val="Balloon Text Char"/>
    <w:basedOn w:val="DefaultParagraphFont"/>
    <w:link w:val="BalloonText"/>
    <w:rsid w:val="00EC4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able of authorities" w:uiPriority="99"/>
    <w:lsdException w:name="toa heading"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974"/>
    <w:rPr>
      <w:sz w:val="24"/>
    </w:rPr>
  </w:style>
  <w:style w:type="paragraph" w:styleId="Heading1">
    <w:name w:val="heading 1"/>
    <w:basedOn w:val="Normal"/>
    <w:next w:val="Normal"/>
    <w:qFormat/>
    <w:rsid w:val="00C305D1"/>
    <w:pPr>
      <w:keepNext/>
      <w:spacing w:after="240"/>
      <w:jc w:val="center"/>
      <w:outlineLvl w:val="0"/>
    </w:pPr>
    <w:rPr>
      <w:b/>
      <w:kern w:val="28"/>
      <w:sz w:val="28"/>
      <w:u w:val="single"/>
    </w:rPr>
  </w:style>
  <w:style w:type="paragraph" w:styleId="Heading2">
    <w:name w:val="heading 2"/>
    <w:basedOn w:val="Normal"/>
    <w:next w:val="Normal"/>
    <w:qFormat/>
    <w:rsid w:val="00C305D1"/>
    <w:pPr>
      <w:keepNext/>
      <w:spacing w:before="240" w:after="60"/>
      <w:outlineLvl w:val="1"/>
    </w:pPr>
    <w:rPr>
      <w:b/>
    </w:rPr>
  </w:style>
  <w:style w:type="paragraph" w:styleId="Heading3">
    <w:name w:val="heading 3"/>
    <w:basedOn w:val="Normal"/>
    <w:next w:val="Normal"/>
    <w:qFormat/>
    <w:rsid w:val="00C305D1"/>
    <w:pPr>
      <w:keepNext/>
      <w:spacing w:before="240" w:after="60"/>
      <w:ind w:right="1440"/>
      <w:outlineLvl w:val="2"/>
    </w:pPr>
    <w:rPr>
      <w:rFonts w:ascii="Arial" w:hAnsi="Arial"/>
    </w:rPr>
  </w:style>
  <w:style w:type="paragraph" w:styleId="Heading4">
    <w:name w:val="heading 4"/>
    <w:basedOn w:val="Normal"/>
    <w:next w:val="Normal"/>
    <w:link w:val="Heading4Char"/>
    <w:qFormat/>
    <w:rsid w:val="001A2669"/>
    <w:pPr>
      <w:keepNext/>
      <w:overflowPunct w:val="0"/>
      <w:autoSpaceDE w:val="0"/>
      <w:autoSpaceDN w:val="0"/>
      <w:adjustRightInd w:val="0"/>
      <w:jc w:val="center"/>
      <w:textAlignment w:val="baseline"/>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
    <w:name w:val="ISSUE"/>
    <w:basedOn w:val="Normal"/>
    <w:rsid w:val="00C305D1"/>
    <w:pPr>
      <w:numPr>
        <w:numId w:val="15"/>
      </w:numPr>
      <w:spacing w:after="240"/>
      <w:ind w:right="1008"/>
      <w:jc w:val="both"/>
    </w:pPr>
    <w:rPr>
      <w:b/>
      <w:caps/>
      <w:szCs w:val="24"/>
    </w:rPr>
  </w:style>
  <w:style w:type="paragraph" w:customStyle="1" w:styleId="Citation">
    <w:name w:val="Citation"/>
    <w:basedOn w:val="Normal"/>
    <w:rsid w:val="00C305D1"/>
    <w:pPr>
      <w:tabs>
        <w:tab w:val="right" w:leader="dot" w:pos="9360"/>
      </w:tabs>
      <w:ind w:left="360" w:hanging="360"/>
    </w:pPr>
  </w:style>
  <w:style w:type="paragraph" w:styleId="FootnoteText">
    <w:name w:val="footnote text"/>
    <w:basedOn w:val="Normal"/>
    <w:semiHidden/>
    <w:rsid w:val="00C305D1"/>
    <w:pPr>
      <w:keepLines/>
      <w:spacing w:line="240" w:lineRule="exact"/>
      <w:jc w:val="both"/>
    </w:pPr>
  </w:style>
  <w:style w:type="paragraph" w:styleId="TOC5">
    <w:name w:val="toc 5"/>
    <w:basedOn w:val="Normal"/>
    <w:next w:val="Normal"/>
    <w:uiPriority w:val="39"/>
    <w:rsid w:val="00C305D1"/>
    <w:pPr>
      <w:tabs>
        <w:tab w:val="left" w:pos="1440"/>
        <w:tab w:val="right" w:leader="dot" w:pos="9360"/>
      </w:tabs>
      <w:spacing w:after="240"/>
      <w:ind w:left="475" w:hanging="475"/>
    </w:pPr>
    <w:rPr>
      <w:noProof/>
    </w:rPr>
  </w:style>
  <w:style w:type="paragraph" w:styleId="TOC1">
    <w:name w:val="toc 1"/>
    <w:basedOn w:val="Normal"/>
    <w:next w:val="Normal"/>
    <w:semiHidden/>
    <w:rsid w:val="00C305D1"/>
    <w:pPr>
      <w:tabs>
        <w:tab w:val="right" w:leader="dot" w:pos="9350"/>
      </w:tabs>
      <w:spacing w:before="360"/>
    </w:pPr>
    <w:rPr>
      <w:rFonts w:ascii="Arial" w:hAnsi="Arial"/>
      <w:b/>
      <w:noProof/>
    </w:rPr>
  </w:style>
  <w:style w:type="paragraph" w:customStyle="1" w:styleId="NormalDoubleSpace">
    <w:name w:val="Normal + Double Space"/>
    <w:basedOn w:val="Normal"/>
    <w:link w:val="NormalDoubleSpaceChar"/>
    <w:qFormat/>
    <w:rsid w:val="00C305D1"/>
    <w:pPr>
      <w:spacing w:line="480" w:lineRule="auto"/>
    </w:pPr>
  </w:style>
  <w:style w:type="paragraph" w:customStyle="1" w:styleId="BlockQuote">
    <w:name w:val="Block Quote"/>
    <w:basedOn w:val="Normal"/>
    <w:rsid w:val="00C305D1"/>
    <w:pPr>
      <w:tabs>
        <w:tab w:val="left" w:pos="-1440"/>
        <w:tab w:val="left" w:pos="-720"/>
      </w:tabs>
      <w:suppressAutoHyphens/>
      <w:ind w:left="1440" w:right="1440"/>
      <w:jc w:val="both"/>
    </w:pPr>
    <w:rPr>
      <w:spacing w:val="-3"/>
    </w:rPr>
  </w:style>
  <w:style w:type="paragraph" w:styleId="TOC2">
    <w:name w:val="toc 2"/>
    <w:basedOn w:val="Normal"/>
    <w:next w:val="Normal"/>
    <w:semiHidden/>
    <w:rsid w:val="00C305D1"/>
    <w:pPr>
      <w:ind w:left="240"/>
    </w:pPr>
  </w:style>
  <w:style w:type="character" w:customStyle="1" w:styleId="NormalDoubleSpaceChar">
    <w:name w:val="Normal + Double Space Char"/>
    <w:link w:val="NormalDoubleSpace"/>
    <w:rsid w:val="003E3A26"/>
    <w:rPr>
      <w:sz w:val="24"/>
    </w:rPr>
  </w:style>
  <w:style w:type="paragraph" w:styleId="Header">
    <w:name w:val="header"/>
    <w:basedOn w:val="Normal"/>
    <w:link w:val="HeaderChar"/>
    <w:rsid w:val="001A5B78"/>
    <w:pPr>
      <w:tabs>
        <w:tab w:val="center" w:pos="4680"/>
        <w:tab w:val="right" w:pos="9360"/>
      </w:tabs>
    </w:pPr>
  </w:style>
  <w:style w:type="character" w:customStyle="1" w:styleId="HeaderChar">
    <w:name w:val="Header Char"/>
    <w:basedOn w:val="DefaultParagraphFont"/>
    <w:link w:val="Header"/>
    <w:rsid w:val="001A5B78"/>
    <w:rPr>
      <w:sz w:val="24"/>
    </w:rPr>
  </w:style>
  <w:style w:type="paragraph" w:styleId="Footer">
    <w:name w:val="footer"/>
    <w:basedOn w:val="Normal"/>
    <w:link w:val="FooterChar"/>
    <w:rsid w:val="001A5B78"/>
    <w:pPr>
      <w:tabs>
        <w:tab w:val="center" w:pos="4680"/>
        <w:tab w:val="right" w:pos="9360"/>
      </w:tabs>
    </w:pPr>
  </w:style>
  <w:style w:type="character" w:customStyle="1" w:styleId="FooterChar">
    <w:name w:val="Footer Char"/>
    <w:basedOn w:val="DefaultParagraphFont"/>
    <w:link w:val="Footer"/>
    <w:rsid w:val="001A5B78"/>
    <w:rPr>
      <w:sz w:val="24"/>
    </w:rPr>
  </w:style>
  <w:style w:type="character" w:styleId="PageNumber">
    <w:name w:val="page number"/>
    <w:basedOn w:val="DefaultParagraphFont"/>
    <w:rsid w:val="001A5B78"/>
  </w:style>
  <w:style w:type="paragraph" w:styleId="TOC3">
    <w:name w:val="toc 3"/>
    <w:basedOn w:val="Normal"/>
    <w:next w:val="Normal"/>
    <w:autoRedefine/>
    <w:rsid w:val="001A5B78"/>
    <w:pPr>
      <w:spacing w:after="100"/>
      <w:ind w:left="480"/>
    </w:pPr>
  </w:style>
  <w:style w:type="paragraph" w:styleId="TOC4">
    <w:name w:val="toc 4"/>
    <w:basedOn w:val="Normal"/>
    <w:next w:val="Normal"/>
    <w:autoRedefine/>
    <w:rsid w:val="001A5B78"/>
    <w:pPr>
      <w:spacing w:after="100"/>
      <w:ind w:left="720"/>
    </w:pPr>
  </w:style>
  <w:style w:type="paragraph" w:styleId="TOC6">
    <w:name w:val="toc 6"/>
    <w:basedOn w:val="Normal"/>
    <w:next w:val="Normal"/>
    <w:autoRedefine/>
    <w:rsid w:val="001A5B78"/>
    <w:pPr>
      <w:spacing w:after="100"/>
      <w:ind w:left="1200"/>
    </w:pPr>
  </w:style>
  <w:style w:type="paragraph" w:styleId="TOC7">
    <w:name w:val="toc 7"/>
    <w:basedOn w:val="Normal"/>
    <w:next w:val="Normal"/>
    <w:autoRedefine/>
    <w:rsid w:val="001A5B78"/>
    <w:pPr>
      <w:spacing w:after="100"/>
      <w:ind w:left="1440"/>
    </w:pPr>
  </w:style>
  <w:style w:type="paragraph" w:styleId="TOC8">
    <w:name w:val="toc 8"/>
    <w:basedOn w:val="Normal"/>
    <w:next w:val="Normal"/>
    <w:autoRedefine/>
    <w:rsid w:val="001A5B78"/>
    <w:pPr>
      <w:spacing w:after="100"/>
      <w:ind w:left="1680"/>
    </w:pPr>
  </w:style>
  <w:style w:type="paragraph" w:styleId="TOC9">
    <w:name w:val="toc 9"/>
    <w:basedOn w:val="Normal"/>
    <w:next w:val="Normal"/>
    <w:autoRedefine/>
    <w:rsid w:val="001A5B78"/>
    <w:pPr>
      <w:spacing w:after="100"/>
      <w:ind w:left="1920"/>
    </w:pPr>
  </w:style>
  <w:style w:type="paragraph" w:styleId="TOAHeading">
    <w:name w:val="toa heading"/>
    <w:basedOn w:val="Normal"/>
    <w:next w:val="Normal"/>
    <w:uiPriority w:val="99"/>
    <w:rsid w:val="00171071"/>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rsid w:val="00171071"/>
    <w:pPr>
      <w:ind w:left="240" w:hanging="240"/>
    </w:pPr>
  </w:style>
  <w:style w:type="character" w:customStyle="1" w:styleId="Heading4Char">
    <w:name w:val="Heading 4 Char"/>
    <w:basedOn w:val="DefaultParagraphFont"/>
    <w:link w:val="Heading4"/>
    <w:rsid w:val="001A2669"/>
    <w:rPr>
      <w:rFonts w:ascii="Arial" w:hAnsi="Arial" w:cs="Arial"/>
      <w:b/>
      <w:bCs/>
      <w:sz w:val="16"/>
    </w:rPr>
  </w:style>
  <w:style w:type="paragraph" w:styleId="BalloonText">
    <w:name w:val="Balloon Text"/>
    <w:basedOn w:val="Normal"/>
    <w:link w:val="BalloonTextChar"/>
    <w:rsid w:val="00EC48DA"/>
    <w:rPr>
      <w:rFonts w:ascii="Tahoma" w:hAnsi="Tahoma" w:cs="Tahoma"/>
      <w:sz w:val="16"/>
      <w:szCs w:val="16"/>
    </w:rPr>
  </w:style>
  <w:style w:type="character" w:customStyle="1" w:styleId="BalloonTextChar">
    <w:name w:val="Balloon Text Char"/>
    <w:basedOn w:val="DefaultParagraphFont"/>
    <w:link w:val="BalloonText"/>
    <w:rsid w:val="00EC4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7B893817.dotm</Template>
  <TotalTime>0</TotalTime>
  <Pages>14</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People v Alexander Jeremy Steanhouse-Michigan Court of Appeals-8/31/2015</vt:lpstr>
    </vt:vector>
  </TitlesOfParts>
  <Company>State Appellate Defender Office</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v Alexander Jeremy Steanhouse-Michigan Court of Appeals-8/31/2015</dc:title>
  <dc:subject>1: THE SENTENCE IMPOSED ON DEFENDANT FOR ASSAULT WITH I</dc:subject>
  <dc:creator>Chari K. Grove</dc:creator>
  <dc:description>1: THE SENTENCE IMPOSED ON DEFENDANT FOR ASSAULT WITH INTENT TO MURDER WAS BOTH PROCEDURALLY AND SUBSTANTIVELY UNREASONABLE.</dc:description>
  <cp:lastModifiedBy>Marilena David-Martin</cp:lastModifiedBy>
  <cp:revision>2</cp:revision>
  <dcterms:created xsi:type="dcterms:W3CDTF">2015-09-25T21:38:00Z</dcterms:created>
  <dcterms:modified xsi:type="dcterms:W3CDTF">2015-09-25T21:38:00Z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a0accc3d-bb33-41b0-b5fd-ff08855d7ff1</vt:lpwstr>
  </property>
  <property fmtid="{D5CDD505-2E9C-101B-9397-08002B2CF9AE}" pid="3" name="BriefBank">
    <vt:lpwstr>256853</vt:lpwstr>
  </property>
  <property fmtid="{D5CDD505-2E9C-101B-9397-08002B2CF9AE}" pid="4" name="Type">
    <vt:lpwstr>Unpublished MI Court of Appeals</vt:lpwstr>
  </property>
  <property fmtid="{D5CDD505-2E9C-101B-9397-08002B2CF9AE}" pid="5" name="County">
    <vt:lpwstr/>
  </property>
  <property fmtid="{D5CDD505-2E9C-101B-9397-08002B2CF9AE}" pid="6" name="PleadingTitle">
    <vt:lpwstr>Summary of Unpublished Court of Appeals Opinion</vt:lpwstr>
  </property>
  <property fmtid="{D5CDD505-2E9C-101B-9397-08002B2CF9AE}" pid="7" name="Docket">
    <vt:lpwstr>318329</vt:lpwstr>
  </property>
  <property fmtid="{D5CDD505-2E9C-101B-9397-08002B2CF9AE}" pid="8" name="Court">
    <vt:lpwstr>Michigan Court of Appeals</vt:lpwstr>
  </property>
  <property fmtid="{D5CDD505-2E9C-101B-9397-08002B2CF9AE}" pid="9" name="Date1">
    <vt:filetime>2015-08-31T04:00:00Z</vt:filetime>
  </property>
  <property fmtid="{D5CDD505-2E9C-101B-9397-08002B2CF9AE}" pid="10" name="Judges">
    <vt:lpwstr/>
  </property>
  <property fmtid="{D5CDD505-2E9C-101B-9397-08002B2CF9AE}" pid="11" name="Attorney">
    <vt:lpwstr>Chari K. Grove</vt:lpwstr>
  </property>
  <property fmtid="{D5CDD505-2E9C-101B-9397-08002B2CF9AE}" pid="12" name="Defendant">
    <vt:lpwstr>Alexander Jeremy Steanhouse</vt:lpwstr>
  </property>
  <property fmtid="{D5CDD505-2E9C-101B-9397-08002B2CF9AE}" pid="13" name="Citation">
    <vt:lpwstr/>
  </property>
  <property fmtid="{D5CDD505-2E9C-101B-9397-08002B2CF9AE}" pid="14" name="IDEN">
    <vt:i4>26319</vt:i4>
  </property>
</Properties>
</file>